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27D1A" w14:textId="77777777" w:rsidR="00E90DA5" w:rsidRPr="007430E6" w:rsidRDefault="00E90DA5" w:rsidP="00B74094">
      <w:pPr>
        <w:jc w:val="center"/>
        <w:rPr>
          <w:b/>
          <w:bCs/>
          <w:spacing w:val="0"/>
          <w:sz w:val="22"/>
          <w:szCs w:val="22"/>
        </w:rPr>
      </w:pPr>
      <w:r w:rsidRPr="007430E6">
        <w:rPr>
          <w:b/>
          <w:bCs/>
          <w:spacing w:val="0"/>
          <w:sz w:val="22"/>
          <w:szCs w:val="22"/>
        </w:rPr>
        <w:t>ANEXO 1</w:t>
      </w:r>
    </w:p>
    <w:p w14:paraId="39660E23" w14:textId="77777777" w:rsidR="00E90DA5" w:rsidRPr="007430E6" w:rsidRDefault="00E90DA5" w:rsidP="00E90DA5">
      <w:pPr>
        <w:pStyle w:val="Textoindependiente"/>
        <w:rPr>
          <w:spacing w:val="0"/>
          <w:sz w:val="22"/>
          <w:szCs w:val="22"/>
        </w:rPr>
      </w:pPr>
    </w:p>
    <w:p w14:paraId="1B391754" w14:textId="77777777" w:rsidR="00E90DA5" w:rsidRPr="007430E6" w:rsidRDefault="00E90DA5" w:rsidP="00E90DA5">
      <w:pPr>
        <w:pStyle w:val="Normal9pt"/>
        <w:numPr>
          <w:ilvl w:val="0"/>
          <w:numId w:val="30"/>
        </w:numPr>
        <w:tabs>
          <w:tab w:val="clear" w:pos="720"/>
          <w:tab w:val="num" w:pos="360"/>
        </w:tabs>
        <w:ind w:hanging="720"/>
        <w:rPr>
          <w:b/>
          <w:sz w:val="22"/>
          <w:szCs w:val="22"/>
        </w:rPr>
      </w:pPr>
      <w:r w:rsidRPr="007430E6">
        <w:rPr>
          <w:b/>
          <w:sz w:val="22"/>
          <w:szCs w:val="22"/>
        </w:rPr>
        <w:t>CONSIDERACIONES GENERALES</w:t>
      </w:r>
    </w:p>
    <w:p w14:paraId="7840B758" w14:textId="77777777" w:rsidR="00E90DA5" w:rsidRPr="007430E6" w:rsidRDefault="00E90DA5" w:rsidP="00E90DA5">
      <w:pPr>
        <w:pStyle w:val="Textoindependiente"/>
        <w:rPr>
          <w:spacing w:val="0"/>
          <w:sz w:val="22"/>
          <w:szCs w:val="22"/>
        </w:rPr>
      </w:pPr>
    </w:p>
    <w:p w14:paraId="65C6B642" w14:textId="77777777" w:rsidR="00E90DA5" w:rsidRPr="007430E6" w:rsidRDefault="00E90DA5" w:rsidP="00E90DA5">
      <w:pPr>
        <w:pStyle w:val="Textoindependiente"/>
        <w:rPr>
          <w:spacing w:val="0"/>
          <w:sz w:val="22"/>
          <w:szCs w:val="22"/>
        </w:rPr>
      </w:pPr>
      <w:r w:rsidRPr="007430E6">
        <w:rPr>
          <w:spacing w:val="0"/>
          <w:sz w:val="22"/>
          <w:szCs w:val="22"/>
        </w:rPr>
        <w:t xml:space="preserve">En el presente Anexo se establece el Modelo Estándar para la medición de riesgos de mercado adoptado por </w:t>
      </w:r>
      <w:smartTag w:uri="urn:schemas-microsoft-com:office:smarttags" w:element="PersonName">
        <w:smartTagPr>
          <w:attr w:name="ProductID" w:val="la SFC"/>
        </w:smartTagPr>
        <w:r w:rsidRPr="007430E6">
          <w:rPr>
            <w:spacing w:val="0"/>
            <w:sz w:val="22"/>
            <w:szCs w:val="22"/>
          </w:rPr>
          <w:t>la SFC</w:t>
        </w:r>
      </w:smartTag>
      <w:r w:rsidRPr="007430E6">
        <w:rPr>
          <w:spacing w:val="0"/>
          <w:sz w:val="22"/>
          <w:szCs w:val="22"/>
        </w:rPr>
        <w:t>, el cual deben emplear los establecimientos de crédito, las instituciones oficiales especiales, los organismos cooperativos de grado superior y el que se derive de las operaciones por cuenta propia y con recursos propios realizadas por las sociedades comisionistas de bolsa de valores</w:t>
      </w:r>
    </w:p>
    <w:p w14:paraId="134AF598" w14:textId="77777777" w:rsidR="00E90DA5" w:rsidRPr="007430E6" w:rsidRDefault="00E90DA5" w:rsidP="00E90DA5">
      <w:pPr>
        <w:pStyle w:val="Textoindependiente"/>
        <w:rPr>
          <w:spacing w:val="0"/>
          <w:sz w:val="22"/>
          <w:szCs w:val="22"/>
        </w:rPr>
      </w:pPr>
    </w:p>
    <w:p w14:paraId="3DBC861C" w14:textId="77777777" w:rsidR="00E90DA5" w:rsidRPr="007430E6" w:rsidRDefault="00E90DA5" w:rsidP="00E90DA5">
      <w:pPr>
        <w:pStyle w:val="Textoindependiente"/>
        <w:rPr>
          <w:spacing w:val="0"/>
          <w:sz w:val="22"/>
          <w:szCs w:val="22"/>
        </w:rPr>
      </w:pPr>
      <w:r w:rsidRPr="007430E6">
        <w:rPr>
          <w:spacing w:val="0"/>
          <w:sz w:val="22"/>
          <w:szCs w:val="22"/>
        </w:rPr>
        <w:t xml:space="preserve">Sin embargo, las entidades que cuenten con modelos internos no objetados por </w:t>
      </w:r>
      <w:smartTag w:uri="urn:schemas-microsoft-com:office:smarttags" w:element="PersonName">
        <w:smartTagPr>
          <w:attr w:name="ProductID" w:val="la SFC"/>
        </w:smartTagPr>
        <w:r w:rsidRPr="007430E6">
          <w:rPr>
            <w:spacing w:val="0"/>
            <w:sz w:val="22"/>
            <w:szCs w:val="22"/>
          </w:rPr>
          <w:t>la SFC</w:t>
        </w:r>
      </w:smartTag>
      <w:r w:rsidRPr="007430E6">
        <w:rPr>
          <w:spacing w:val="0"/>
          <w:sz w:val="22"/>
          <w:szCs w:val="22"/>
        </w:rPr>
        <w:t xml:space="preserve"> deberán utilizarlos de acuerdo con lo establecido en el numeral 5.2.2. del presente capítulo.</w:t>
      </w:r>
    </w:p>
    <w:p w14:paraId="0471BB5D" w14:textId="77777777" w:rsidR="00E90DA5" w:rsidRPr="007430E6" w:rsidRDefault="00E90DA5" w:rsidP="00E90DA5">
      <w:pPr>
        <w:pStyle w:val="Textoindependiente"/>
        <w:rPr>
          <w:b/>
          <w:bCs/>
          <w:spacing w:val="0"/>
          <w:sz w:val="22"/>
          <w:szCs w:val="22"/>
          <w:lang w:val="es-ES"/>
        </w:rPr>
      </w:pPr>
    </w:p>
    <w:p w14:paraId="1A2D9470" w14:textId="77777777" w:rsidR="00E90DA5" w:rsidRPr="007430E6" w:rsidRDefault="00E90DA5" w:rsidP="00E90DA5">
      <w:pPr>
        <w:pStyle w:val="Normal9pt"/>
        <w:numPr>
          <w:ilvl w:val="0"/>
          <w:numId w:val="30"/>
        </w:numPr>
        <w:tabs>
          <w:tab w:val="clear" w:pos="720"/>
          <w:tab w:val="num" w:pos="360"/>
        </w:tabs>
        <w:ind w:left="360"/>
        <w:rPr>
          <w:b/>
          <w:sz w:val="22"/>
          <w:szCs w:val="22"/>
        </w:rPr>
      </w:pPr>
      <w:r w:rsidRPr="007430E6">
        <w:rPr>
          <w:b/>
          <w:sz w:val="22"/>
          <w:szCs w:val="22"/>
        </w:rPr>
        <w:t xml:space="preserve">REGLAS RELATIVAS A </w:t>
      </w:r>
      <w:smartTag w:uri="urn:schemas-microsoft-com:office:smarttags" w:element="PersonName">
        <w:smartTagPr>
          <w:attr w:name="ProductID" w:val="LA APLICACIￓN DE"/>
        </w:smartTagPr>
        <w:r w:rsidRPr="007430E6">
          <w:rPr>
            <w:b/>
            <w:sz w:val="22"/>
            <w:szCs w:val="22"/>
          </w:rPr>
          <w:t>LA APLICACIÓN DE</w:t>
        </w:r>
      </w:smartTag>
      <w:r w:rsidRPr="007430E6">
        <w:rPr>
          <w:b/>
          <w:sz w:val="22"/>
          <w:szCs w:val="22"/>
        </w:rPr>
        <w:t xml:space="preserve"> MODELOS PARA LA MEDICION DE RIESGOS DE MERCADO</w:t>
      </w:r>
    </w:p>
    <w:p w14:paraId="61A44242" w14:textId="77777777" w:rsidR="00E90DA5" w:rsidRPr="007430E6" w:rsidRDefault="00E90DA5" w:rsidP="00E90DA5">
      <w:pPr>
        <w:pStyle w:val="Textoindependiente"/>
        <w:rPr>
          <w:b/>
          <w:bCs/>
          <w:spacing w:val="0"/>
          <w:sz w:val="22"/>
          <w:szCs w:val="22"/>
        </w:rPr>
      </w:pPr>
    </w:p>
    <w:p w14:paraId="758ED94E" w14:textId="77777777" w:rsidR="00E90DA5" w:rsidRPr="007430E6" w:rsidRDefault="00E90DA5" w:rsidP="00E90DA5">
      <w:pPr>
        <w:pStyle w:val="Textoindependiente"/>
        <w:numPr>
          <w:ilvl w:val="1"/>
          <w:numId w:val="4"/>
        </w:numPr>
        <w:rPr>
          <w:b/>
          <w:bCs/>
          <w:spacing w:val="0"/>
          <w:sz w:val="22"/>
          <w:szCs w:val="22"/>
        </w:rPr>
      </w:pPr>
      <w:r w:rsidRPr="007430E6">
        <w:rPr>
          <w:b/>
          <w:bCs/>
          <w:spacing w:val="0"/>
          <w:sz w:val="22"/>
          <w:szCs w:val="22"/>
        </w:rPr>
        <w:t>Reglas relativas a la medición de riesgos de mercado a través del modelo estándar para establecimientos de crédito, las instituciones oficiales especiales, los organismos cooperativos de grado superior y a las sociedades comisionistas de bolsa de valores.</w:t>
      </w:r>
    </w:p>
    <w:p w14:paraId="043384CB" w14:textId="77777777" w:rsidR="00E90DA5" w:rsidRPr="007430E6" w:rsidRDefault="00E90DA5" w:rsidP="00E90DA5">
      <w:pPr>
        <w:jc w:val="both"/>
        <w:rPr>
          <w:b/>
          <w:bCs/>
          <w:sz w:val="22"/>
          <w:szCs w:val="22"/>
          <w:lang w:val="es-MX"/>
        </w:rPr>
      </w:pPr>
    </w:p>
    <w:p w14:paraId="477A122C" w14:textId="77777777" w:rsidR="00E90DA5" w:rsidRPr="007430E6" w:rsidRDefault="00E90DA5" w:rsidP="00337AB5">
      <w:pPr>
        <w:pStyle w:val="Textoindependiente"/>
        <w:rPr>
          <w:spacing w:val="0"/>
          <w:sz w:val="22"/>
          <w:szCs w:val="22"/>
        </w:rPr>
      </w:pPr>
      <w:r w:rsidRPr="007430E6">
        <w:rPr>
          <w:spacing w:val="0"/>
          <w:sz w:val="22"/>
          <w:szCs w:val="22"/>
        </w:rPr>
        <w:t>La metodología estandarizada se compone de cinco (5) módulos los cuales se calculan separadamente y son los siguientes:</w:t>
      </w:r>
    </w:p>
    <w:p w14:paraId="31180531" w14:textId="77777777" w:rsidR="00E90DA5" w:rsidRPr="007430E6" w:rsidRDefault="00E90DA5" w:rsidP="00E90DA5">
      <w:pPr>
        <w:pStyle w:val="Textoindependiente"/>
        <w:rPr>
          <w:spacing w:val="0"/>
          <w:sz w:val="22"/>
          <w:szCs w:val="22"/>
        </w:rPr>
      </w:pPr>
    </w:p>
    <w:p w14:paraId="018BEF2A" w14:textId="77777777" w:rsidR="00E90DA5" w:rsidRPr="007430E6" w:rsidRDefault="00E90DA5" w:rsidP="00E90DA5">
      <w:pPr>
        <w:pStyle w:val="Textoindependiente"/>
        <w:numPr>
          <w:ilvl w:val="0"/>
          <w:numId w:val="20"/>
        </w:numPr>
        <w:rPr>
          <w:spacing w:val="0"/>
          <w:sz w:val="22"/>
          <w:szCs w:val="22"/>
        </w:rPr>
      </w:pPr>
      <w:r w:rsidRPr="007430E6">
        <w:rPr>
          <w:spacing w:val="0"/>
          <w:sz w:val="22"/>
          <w:szCs w:val="22"/>
        </w:rPr>
        <w:t>Riesgo de tasa de interés.</w:t>
      </w:r>
    </w:p>
    <w:p w14:paraId="7062C0DF" w14:textId="77777777" w:rsidR="00E90DA5" w:rsidRPr="007430E6" w:rsidRDefault="00E90DA5" w:rsidP="00E90DA5">
      <w:pPr>
        <w:pStyle w:val="Textoindependiente"/>
        <w:numPr>
          <w:ilvl w:val="0"/>
          <w:numId w:val="20"/>
        </w:numPr>
        <w:rPr>
          <w:spacing w:val="0"/>
          <w:sz w:val="22"/>
          <w:szCs w:val="22"/>
        </w:rPr>
      </w:pPr>
      <w:r w:rsidRPr="007430E6">
        <w:rPr>
          <w:spacing w:val="0"/>
          <w:sz w:val="22"/>
          <w:szCs w:val="22"/>
        </w:rPr>
        <w:t>Riesgo de tasa de cambio.</w:t>
      </w:r>
    </w:p>
    <w:p w14:paraId="178E2812" w14:textId="77777777" w:rsidR="00E90DA5" w:rsidRPr="007430E6" w:rsidRDefault="00E90DA5" w:rsidP="00E90DA5">
      <w:pPr>
        <w:pStyle w:val="Textoindependiente"/>
        <w:numPr>
          <w:ilvl w:val="0"/>
          <w:numId w:val="20"/>
        </w:numPr>
        <w:rPr>
          <w:spacing w:val="0"/>
          <w:sz w:val="22"/>
          <w:szCs w:val="22"/>
        </w:rPr>
      </w:pPr>
      <w:r w:rsidRPr="007430E6">
        <w:rPr>
          <w:spacing w:val="0"/>
          <w:sz w:val="22"/>
          <w:szCs w:val="22"/>
        </w:rPr>
        <w:t>Riesgo de precio de acciones.</w:t>
      </w:r>
    </w:p>
    <w:p w14:paraId="43A3FFB3" w14:textId="44F6F32C" w:rsidR="00E90DA5" w:rsidRPr="007430E6" w:rsidRDefault="003D21F1" w:rsidP="00E90DA5">
      <w:pPr>
        <w:pStyle w:val="Textoindependiente"/>
        <w:numPr>
          <w:ilvl w:val="0"/>
          <w:numId w:val="20"/>
        </w:numPr>
        <w:rPr>
          <w:spacing w:val="0"/>
          <w:sz w:val="22"/>
          <w:szCs w:val="22"/>
        </w:rPr>
      </w:pPr>
      <w:r>
        <w:rPr>
          <w:noProof/>
          <w:spacing w:val="0"/>
          <w:sz w:val="22"/>
          <w:szCs w:val="22"/>
        </w:rPr>
        <mc:AlternateContent>
          <mc:Choice Requires="wps">
            <w:drawing>
              <wp:anchor distT="0" distB="0" distL="114300" distR="114300" simplePos="0" relativeHeight="251656704" behindDoc="0" locked="0" layoutInCell="1" allowOverlap="1" wp14:anchorId="7CCE6495" wp14:editId="499A713C">
                <wp:simplePos x="0" y="0"/>
                <wp:positionH relativeFrom="column">
                  <wp:posOffset>-66675</wp:posOffset>
                </wp:positionH>
                <wp:positionV relativeFrom="paragraph">
                  <wp:posOffset>186055</wp:posOffset>
                </wp:positionV>
                <wp:extent cx="0" cy="144780"/>
                <wp:effectExtent l="13335" t="10160" r="5715" b="698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78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DBDE6E" id="_x0000_t32" coordsize="21600,21600" o:spt="32" o:oned="t" path="m,l21600,21600e" filled="f">
                <v:path arrowok="t" fillok="f" o:connecttype="none"/>
                <o:lock v:ext="edit" shapetype="t"/>
              </v:shapetype>
              <v:shape id="AutoShape 2" o:spid="_x0000_s1026" type="#_x0000_t32" style="position:absolute;margin-left:-5.25pt;margin-top:14.65pt;width:0;height:11.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" strokeweight=".25pt"/>
            </w:pict>
          </mc:Fallback>
        </mc:AlternateContent>
      </w:r>
      <w:r>
        <w:rPr>
          <w:spacing w:val="0"/>
          <w:sz w:val="22"/>
          <w:szCs w:val="22"/>
        </w:rPr>
        <w:t>R</w:t>
      </w:r>
      <w:r w:rsidR="00E90DA5" w:rsidRPr="007430E6">
        <w:rPr>
          <w:spacing w:val="0"/>
          <w:sz w:val="22"/>
          <w:szCs w:val="22"/>
        </w:rPr>
        <w:t>iesgo de inversiones en carteras colectivas.</w:t>
      </w:r>
    </w:p>
    <w:p w14:paraId="0595429C" w14:textId="77777777" w:rsidR="00E90DA5" w:rsidRPr="00B74094" w:rsidRDefault="00AD2941" w:rsidP="00337AB5">
      <w:pPr>
        <w:pStyle w:val="Textoindependiente"/>
        <w:numPr>
          <w:ilvl w:val="0"/>
          <w:numId w:val="20"/>
        </w:numPr>
        <w:rPr>
          <w:b/>
          <w:bCs/>
          <w:spacing w:val="0"/>
          <w:sz w:val="22"/>
          <w:szCs w:val="22"/>
        </w:rPr>
      </w:pPr>
      <w:r w:rsidRPr="00B74094">
        <w:rPr>
          <w:b/>
          <w:bCs/>
          <w:spacing w:val="0"/>
          <w:sz w:val="22"/>
          <w:szCs w:val="22"/>
        </w:rPr>
        <w:t>Riesgo de d</w:t>
      </w:r>
      <w:r w:rsidR="006C7B60" w:rsidRPr="00B74094">
        <w:rPr>
          <w:b/>
          <w:bCs/>
          <w:spacing w:val="0"/>
          <w:sz w:val="22"/>
          <w:szCs w:val="22"/>
        </w:rPr>
        <w:t>erivados de crédito.</w:t>
      </w:r>
    </w:p>
    <w:p w14:paraId="4A290036" w14:textId="77777777" w:rsidR="00E90DA5" w:rsidRPr="007430E6" w:rsidRDefault="00E90DA5" w:rsidP="00E90DA5">
      <w:pPr>
        <w:ind w:left="360"/>
        <w:jc w:val="both"/>
        <w:rPr>
          <w:sz w:val="22"/>
          <w:szCs w:val="22"/>
          <w:lang w:val="es-MX"/>
        </w:rPr>
      </w:pPr>
    </w:p>
    <w:p w14:paraId="21F9F189" w14:textId="77777777" w:rsidR="00E90DA5" w:rsidRPr="007430E6" w:rsidRDefault="00E90DA5" w:rsidP="00E90DA5">
      <w:pPr>
        <w:pStyle w:val="Textoindependiente"/>
        <w:rPr>
          <w:spacing w:val="0"/>
          <w:sz w:val="22"/>
          <w:szCs w:val="22"/>
        </w:rPr>
      </w:pPr>
      <w:r w:rsidRPr="007430E6">
        <w:rPr>
          <w:spacing w:val="0"/>
          <w:sz w:val="22"/>
          <w:szCs w:val="22"/>
        </w:rPr>
        <w:t>Para obtener la exposición total a riesgos de mercado los resultados de estos módulos se deben agregar aritméticamente.</w:t>
      </w:r>
    </w:p>
    <w:p w14:paraId="0CB3C70D" w14:textId="77777777" w:rsidR="00E90DA5" w:rsidRPr="007430E6" w:rsidRDefault="00E90DA5" w:rsidP="00E90DA5">
      <w:pPr>
        <w:pStyle w:val="Textoindependiente"/>
        <w:rPr>
          <w:spacing w:val="0"/>
          <w:sz w:val="22"/>
          <w:szCs w:val="22"/>
        </w:rPr>
      </w:pPr>
    </w:p>
    <w:p w14:paraId="67E7ECA0" w14:textId="77777777" w:rsidR="00E90DA5" w:rsidRPr="007430E6" w:rsidRDefault="00E90DA5" w:rsidP="00E90DA5">
      <w:pPr>
        <w:pStyle w:val="Textoindependiente"/>
        <w:rPr>
          <w:spacing w:val="0"/>
          <w:sz w:val="22"/>
          <w:szCs w:val="22"/>
        </w:rPr>
      </w:pPr>
      <w:r w:rsidRPr="007430E6">
        <w:rPr>
          <w:spacing w:val="0"/>
          <w:sz w:val="22"/>
          <w:szCs w:val="22"/>
        </w:rPr>
        <w:t xml:space="preserve">Para los módulos de tasa de interés y de acciones, se toman en cuenta únicamente las posiciones del libro de tesorería. </w:t>
      </w:r>
    </w:p>
    <w:p w14:paraId="476DAB17" w14:textId="77777777" w:rsidR="00E90DA5" w:rsidRPr="007430E6" w:rsidRDefault="00E90DA5" w:rsidP="00E90DA5">
      <w:pPr>
        <w:pStyle w:val="Textoindependiente"/>
        <w:rPr>
          <w:spacing w:val="0"/>
          <w:sz w:val="22"/>
          <w:szCs w:val="22"/>
        </w:rPr>
      </w:pPr>
    </w:p>
    <w:p w14:paraId="55495996" w14:textId="77777777" w:rsidR="00E90DA5" w:rsidRDefault="00E90DA5" w:rsidP="00E90DA5">
      <w:pPr>
        <w:pStyle w:val="Textoindependiente"/>
        <w:rPr>
          <w:spacing w:val="0"/>
          <w:sz w:val="22"/>
          <w:szCs w:val="22"/>
        </w:rPr>
      </w:pPr>
      <w:bookmarkStart w:id="0" w:name="_Hlk34057891"/>
      <w:r w:rsidRPr="007430E6">
        <w:rPr>
          <w:spacing w:val="0"/>
          <w:sz w:val="22"/>
          <w:szCs w:val="22"/>
        </w:rPr>
        <w:t xml:space="preserve">En el caso del módulo de tasa de cambio se incluyen también las posiciones del libro bancario. </w:t>
      </w:r>
    </w:p>
    <w:p w14:paraId="79FEAD39" w14:textId="77777777" w:rsidR="00E90DA5" w:rsidRDefault="00E90DA5" w:rsidP="00B74094">
      <w:pPr>
        <w:pStyle w:val="Textoindependiente"/>
        <w:rPr>
          <w:spacing w:val="0"/>
          <w:sz w:val="22"/>
          <w:szCs w:val="22"/>
        </w:rPr>
      </w:pPr>
    </w:p>
    <w:p w14:paraId="3A486CD4" w14:textId="77777777" w:rsidR="00E90DA5" w:rsidRPr="00B74094" w:rsidRDefault="00E90DA5" w:rsidP="00B74094">
      <w:pPr>
        <w:pStyle w:val="Textoindependiente"/>
        <w:rPr>
          <w:spacing w:val="0"/>
          <w:sz w:val="22"/>
          <w:szCs w:val="22"/>
        </w:rPr>
      </w:pPr>
      <w:r w:rsidRPr="00B74094">
        <w:rPr>
          <w:spacing w:val="0"/>
          <w:sz w:val="22"/>
          <w:szCs w:val="22"/>
        </w:rPr>
        <w:t>Para el cálculo del módulo de tasa de cambio, las entidades podrán excluir el valor de la porción descubierta de sus inversiones controladas en el exterior, de las posiciones del libro bancario. Para el efecto, la exclusión o cualquier cambio en el monto excluido requerirá de la aprobación previa de la junta directiva, debidamente sustentada.</w:t>
      </w:r>
    </w:p>
    <w:p w14:paraId="0783C415" w14:textId="77777777" w:rsidR="00E90DA5" w:rsidRPr="00B74094" w:rsidRDefault="00E90DA5" w:rsidP="00B74094">
      <w:pPr>
        <w:pStyle w:val="Textoindependiente"/>
        <w:rPr>
          <w:spacing w:val="0"/>
          <w:sz w:val="22"/>
          <w:szCs w:val="22"/>
        </w:rPr>
      </w:pPr>
    </w:p>
    <w:p w14:paraId="6505FC8B" w14:textId="77777777" w:rsidR="00E90DA5" w:rsidRPr="00B74094" w:rsidRDefault="00E90DA5" w:rsidP="00B74094">
      <w:pPr>
        <w:pStyle w:val="Textoindependiente"/>
        <w:rPr>
          <w:spacing w:val="0"/>
          <w:sz w:val="22"/>
          <w:szCs w:val="22"/>
        </w:rPr>
      </w:pPr>
      <w:r w:rsidRPr="00B74094">
        <w:rPr>
          <w:spacing w:val="0"/>
          <w:sz w:val="22"/>
          <w:szCs w:val="22"/>
        </w:rPr>
        <w:t>Dicha decisión deberá ser informada a la Superintendencia Financiera de Colombia dentro de los diez (10) días comunes siguientes a su aprobación, indicando la fecha en la cual tendrá efecto la decisión.</w:t>
      </w:r>
    </w:p>
    <w:p w14:paraId="31B65310" w14:textId="77777777" w:rsidR="00E90DA5" w:rsidRPr="00B74094" w:rsidRDefault="00E90DA5" w:rsidP="00B74094">
      <w:pPr>
        <w:pStyle w:val="Textoindependiente"/>
        <w:rPr>
          <w:spacing w:val="0"/>
          <w:sz w:val="22"/>
          <w:szCs w:val="22"/>
        </w:rPr>
      </w:pPr>
    </w:p>
    <w:p w14:paraId="3A9D5C3D" w14:textId="77777777" w:rsidR="00E90DA5" w:rsidRPr="00B74094" w:rsidRDefault="00E90DA5" w:rsidP="00B74094">
      <w:pPr>
        <w:pStyle w:val="Textoindependiente"/>
        <w:rPr>
          <w:spacing w:val="0"/>
          <w:sz w:val="22"/>
          <w:szCs w:val="22"/>
        </w:rPr>
      </w:pPr>
      <w:r w:rsidRPr="00B74094">
        <w:rPr>
          <w:spacing w:val="0"/>
          <w:sz w:val="22"/>
          <w:szCs w:val="22"/>
        </w:rPr>
        <w:t>La exclusión deberá cumplir con las siguientes condiciones:</w:t>
      </w:r>
    </w:p>
    <w:p w14:paraId="41E85851" w14:textId="77777777" w:rsidR="00E90DA5" w:rsidRPr="00B74094" w:rsidRDefault="00E90DA5" w:rsidP="00B74094">
      <w:pPr>
        <w:pStyle w:val="Textoindependiente"/>
        <w:rPr>
          <w:spacing w:val="0"/>
          <w:sz w:val="22"/>
          <w:szCs w:val="22"/>
        </w:rPr>
      </w:pPr>
    </w:p>
    <w:p w14:paraId="0990F232" w14:textId="77777777" w:rsidR="00B74094" w:rsidRPr="00B74094" w:rsidRDefault="00E90DA5" w:rsidP="00B74094">
      <w:pPr>
        <w:pStyle w:val="Textoindependiente"/>
        <w:rPr>
          <w:spacing w:val="0"/>
          <w:sz w:val="22"/>
          <w:szCs w:val="22"/>
        </w:rPr>
      </w:pPr>
      <w:r w:rsidRPr="00B74094">
        <w:rPr>
          <w:spacing w:val="0"/>
          <w:sz w:val="22"/>
          <w:szCs w:val="22"/>
        </w:rPr>
        <w:t xml:space="preserve">a. El monto definido por la entidad para la exclusión no puede exceder la diferencia entre: </w:t>
      </w:r>
    </w:p>
    <w:p w14:paraId="18A828AE" w14:textId="77777777" w:rsidR="00B74094" w:rsidRPr="00B74094" w:rsidRDefault="00B74094" w:rsidP="00B74094">
      <w:pPr>
        <w:pStyle w:val="Textoindependiente"/>
        <w:rPr>
          <w:spacing w:val="0"/>
          <w:sz w:val="22"/>
          <w:szCs w:val="22"/>
        </w:rPr>
      </w:pPr>
    </w:p>
    <w:p w14:paraId="062D5DC0" w14:textId="77777777" w:rsidR="0074071A" w:rsidRPr="00B74094" w:rsidRDefault="00E90DA5" w:rsidP="00B74094">
      <w:pPr>
        <w:pStyle w:val="Textoindependiente"/>
        <w:ind w:left="360"/>
        <w:rPr>
          <w:spacing w:val="0"/>
          <w:sz w:val="22"/>
          <w:szCs w:val="22"/>
        </w:rPr>
        <w:sectPr w:rsidR="0074071A" w:rsidRPr="00B74094" w:rsidSect="00722AB1">
          <w:headerReference w:type="even" r:id="rId11"/>
          <w:headerReference w:type="default" r:id="rId12"/>
          <w:footerReference w:type="even" r:id="rId13"/>
          <w:footerReference w:type="default" r:id="rId14"/>
          <w:headerReference w:type="first" r:id="rId15"/>
          <w:footerReference w:type="first" r:id="rId16"/>
          <w:pgSz w:w="12242" w:h="18722" w:code="14"/>
          <w:pgMar w:top="1701" w:right="1701" w:bottom="1701" w:left="1701" w:header="709" w:footer="709" w:gutter="0"/>
          <w:pgNumType w:start="2"/>
          <w:cols w:space="720"/>
          <w:titlePg/>
        </w:sectPr>
      </w:pPr>
      <w:r w:rsidRPr="00B74094">
        <w:rPr>
          <w:spacing w:val="0"/>
          <w:sz w:val="22"/>
          <w:szCs w:val="22"/>
        </w:rPr>
        <w:t xml:space="preserve">i) el valor de las inversiones controladas en el exterior, incluyendo cualquier concepto que pueda modificar dicho valor como el crédito mercantil, las valorizaciones y las ganancias o pérdidas, entre otros, con independencia del </w:t>
      </w:r>
      <w:bookmarkEnd w:id="0"/>
    </w:p>
    <w:p w14:paraId="15724D9E" w14:textId="77777777" w:rsidR="00F827C9" w:rsidRPr="00B74094" w:rsidRDefault="00F827C9" w:rsidP="00F827C9">
      <w:pPr>
        <w:pStyle w:val="Textoindependiente"/>
        <w:numPr>
          <w:ilvl w:val="0"/>
          <w:numId w:val="41"/>
        </w:numPr>
        <w:rPr>
          <w:spacing w:val="0"/>
          <w:sz w:val="22"/>
          <w:szCs w:val="22"/>
        </w:rPr>
      </w:pPr>
      <w:r w:rsidRPr="00B74094">
        <w:rPr>
          <w:spacing w:val="0"/>
          <w:sz w:val="22"/>
          <w:szCs w:val="22"/>
        </w:rPr>
        <w:lastRenderedPageBreak/>
        <w:t>Una posición nocional corta en un título pactado a la tasa de interés que la entidad paga.</w:t>
      </w:r>
    </w:p>
    <w:p w14:paraId="5D186915" w14:textId="77777777" w:rsidR="00F827C9" w:rsidRPr="00B74094" w:rsidRDefault="00F827C9" w:rsidP="00F827C9">
      <w:pPr>
        <w:pStyle w:val="Textoindependiente"/>
        <w:rPr>
          <w:spacing w:val="0"/>
          <w:sz w:val="22"/>
          <w:szCs w:val="22"/>
        </w:rPr>
      </w:pPr>
    </w:p>
    <w:p w14:paraId="0C843DCC" w14:textId="77777777" w:rsidR="00F827C9" w:rsidRPr="00B74094" w:rsidRDefault="00F827C9" w:rsidP="00F827C9">
      <w:pPr>
        <w:pStyle w:val="Textoindependiente"/>
        <w:rPr>
          <w:spacing w:val="0"/>
          <w:sz w:val="22"/>
          <w:szCs w:val="22"/>
        </w:rPr>
      </w:pPr>
      <w:r w:rsidRPr="00B74094">
        <w:rPr>
          <w:spacing w:val="0"/>
          <w:sz w:val="22"/>
          <w:szCs w:val="22"/>
        </w:rPr>
        <w:t xml:space="preserve">Cuando la tasa de interés del instrumento subyacente sea fija, la madurez residual correspondiente será igual a la duración del contrato. </w:t>
      </w:r>
    </w:p>
    <w:p w14:paraId="4843758E" w14:textId="77777777" w:rsidR="00F827C9" w:rsidRPr="00B74094" w:rsidRDefault="00F827C9" w:rsidP="00F827C9">
      <w:pPr>
        <w:pStyle w:val="Textoindependiente"/>
        <w:rPr>
          <w:spacing w:val="0"/>
          <w:sz w:val="22"/>
          <w:szCs w:val="22"/>
        </w:rPr>
      </w:pPr>
    </w:p>
    <w:p w14:paraId="5F019623" w14:textId="77777777" w:rsidR="00F827C9" w:rsidRPr="00B74094" w:rsidRDefault="00F827C9" w:rsidP="00F827C9">
      <w:pPr>
        <w:pStyle w:val="Textoindependiente"/>
        <w:rPr>
          <w:spacing w:val="0"/>
          <w:sz w:val="22"/>
          <w:szCs w:val="22"/>
        </w:rPr>
      </w:pPr>
      <w:r w:rsidRPr="00B74094">
        <w:rPr>
          <w:spacing w:val="0"/>
          <w:sz w:val="22"/>
          <w:szCs w:val="22"/>
        </w:rPr>
        <w:t>Para los casos en que la tasa de interés sea variable, la duración del flujo se calculará de acuerdo a lo estipulado en el numeral 2.1.2.1 del presente capítulo para dichas posiciones.</w:t>
      </w:r>
    </w:p>
    <w:p w14:paraId="5AE9967A" w14:textId="77777777" w:rsidR="00F827C9" w:rsidRPr="00B74094" w:rsidRDefault="00F827C9" w:rsidP="00F827C9">
      <w:pPr>
        <w:pStyle w:val="Textoindependiente"/>
        <w:rPr>
          <w:spacing w:val="0"/>
          <w:sz w:val="22"/>
          <w:szCs w:val="22"/>
        </w:rPr>
      </w:pPr>
    </w:p>
    <w:p w14:paraId="4E3EB763" w14:textId="77777777" w:rsidR="00F827C9" w:rsidRPr="00B74094" w:rsidRDefault="00F827C9" w:rsidP="00F827C9">
      <w:pPr>
        <w:pStyle w:val="Textoindependiente"/>
        <w:rPr>
          <w:spacing w:val="0"/>
          <w:sz w:val="22"/>
          <w:szCs w:val="22"/>
        </w:rPr>
      </w:pPr>
      <w:r w:rsidRPr="00B74094">
        <w:rPr>
          <w:spacing w:val="0"/>
          <w:sz w:val="22"/>
          <w:szCs w:val="22"/>
        </w:rPr>
        <w:t>En el caso de swaps que involucren posiciones en distintas monedas (</w:t>
      </w:r>
      <w:proofErr w:type="spellStart"/>
      <w:r w:rsidRPr="00B74094">
        <w:rPr>
          <w:i/>
          <w:iCs/>
          <w:spacing w:val="0"/>
          <w:sz w:val="22"/>
          <w:szCs w:val="22"/>
        </w:rPr>
        <w:t>cross</w:t>
      </w:r>
      <w:proofErr w:type="spellEnd"/>
      <w:r w:rsidRPr="00B74094">
        <w:rPr>
          <w:i/>
          <w:iCs/>
          <w:spacing w:val="0"/>
          <w:sz w:val="22"/>
          <w:szCs w:val="22"/>
        </w:rPr>
        <w:t xml:space="preserve"> </w:t>
      </w:r>
      <w:proofErr w:type="spellStart"/>
      <w:r w:rsidRPr="00B74094">
        <w:rPr>
          <w:i/>
          <w:iCs/>
          <w:spacing w:val="0"/>
          <w:sz w:val="22"/>
          <w:szCs w:val="22"/>
        </w:rPr>
        <w:t>currency</w:t>
      </w:r>
      <w:proofErr w:type="spellEnd"/>
      <w:r w:rsidRPr="00B74094">
        <w:rPr>
          <w:i/>
          <w:iCs/>
          <w:spacing w:val="0"/>
          <w:sz w:val="22"/>
          <w:szCs w:val="22"/>
        </w:rPr>
        <w:t xml:space="preserve"> swaps) </w:t>
      </w:r>
      <w:r w:rsidRPr="00B74094">
        <w:rPr>
          <w:spacing w:val="0"/>
          <w:sz w:val="22"/>
          <w:szCs w:val="22"/>
        </w:rPr>
        <w:t>cada una de las posiciones deberá ser clasificada en la respectiva escalera para el cálculo del riesgo de tasa de interés y adicionalmente deberá ser tenida en cuenta para calcular la exposición al riesgo de tasa de cambio.</w:t>
      </w:r>
    </w:p>
    <w:p w14:paraId="570E2E79" w14:textId="77777777" w:rsidR="00F827C9" w:rsidRPr="00B74094" w:rsidRDefault="00F827C9" w:rsidP="00F827C9">
      <w:pPr>
        <w:pStyle w:val="Textoindependiente"/>
        <w:rPr>
          <w:b/>
          <w:spacing w:val="0"/>
          <w:sz w:val="22"/>
          <w:szCs w:val="22"/>
        </w:rPr>
      </w:pPr>
    </w:p>
    <w:p w14:paraId="5619CC2B" w14:textId="77777777" w:rsidR="00F827C9" w:rsidRPr="00B74094" w:rsidRDefault="00F827C9" w:rsidP="00F827C9">
      <w:pPr>
        <w:pStyle w:val="Textoindependiente"/>
        <w:rPr>
          <w:spacing w:val="0"/>
          <w:sz w:val="22"/>
          <w:szCs w:val="22"/>
        </w:rPr>
      </w:pPr>
      <w:r w:rsidRPr="00B74094">
        <w:rPr>
          <w:spacing w:val="0"/>
          <w:sz w:val="22"/>
          <w:szCs w:val="22"/>
        </w:rPr>
        <w:t xml:space="preserve">Para efectos de los futuros cuya estructura se asemeje a intercambios de flujos calculados sobre tasas de interés les será aplicable lo establecido en el presente literal (i.e. futuro sobre IBR). </w:t>
      </w:r>
    </w:p>
    <w:p w14:paraId="36BA8342" w14:textId="77777777" w:rsidR="00772717" w:rsidRPr="00B74094" w:rsidRDefault="00772717" w:rsidP="00F827C9">
      <w:pPr>
        <w:pStyle w:val="Textoindependiente"/>
        <w:rPr>
          <w:spacing w:val="0"/>
          <w:sz w:val="22"/>
          <w:szCs w:val="22"/>
        </w:rPr>
      </w:pPr>
    </w:p>
    <w:bookmarkStart w:id="1" w:name="_Hlk112242563"/>
    <w:p w14:paraId="2C4A5B90" w14:textId="2A34E9D3" w:rsidR="00772717" w:rsidRPr="00B74094" w:rsidRDefault="003D21F1" w:rsidP="00337AB5">
      <w:pPr>
        <w:pStyle w:val="Textoindependiente"/>
        <w:rPr>
          <w:b/>
          <w:spacing w:val="0"/>
          <w:sz w:val="22"/>
          <w:szCs w:val="22"/>
        </w:rPr>
      </w:pPr>
      <w:r>
        <w:rPr>
          <w:b/>
          <w:noProof/>
          <w:spacing w:val="0"/>
          <w:sz w:val="22"/>
          <w:szCs w:val="22"/>
        </w:rPr>
        <mc:AlternateContent>
          <mc:Choice Requires="wps">
            <w:drawing>
              <wp:anchor distT="0" distB="0" distL="114300" distR="114300" simplePos="0" relativeHeight="251657728" behindDoc="0" locked="0" layoutInCell="1" allowOverlap="1" wp14:anchorId="14F5A7E2" wp14:editId="4574BAF4">
                <wp:simplePos x="0" y="0"/>
                <wp:positionH relativeFrom="column">
                  <wp:posOffset>-66040</wp:posOffset>
                </wp:positionH>
                <wp:positionV relativeFrom="paragraph">
                  <wp:posOffset>55245</wp:posOffset>
                </wp:positionV>
                <wp:extent cx="3810" cy="1850390"/>
                <wp:effectExtent l="13970" t="9525" r="10795" b="698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185039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140234" id="AutoShape 3" o:spid="_x0000_s1026" type="#_x0000_t32" style="position:absolute;margin-left:-5.2pt;margin-top:4.35pt;width:.3pt;height:145.7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" strokeweight=".25pt"/>
            </w:pict>
          </mc:Fallback>
        </mc:AlternateContent>
      </w:r>
      <w:r w:rsidR="00772717" w:rsidRPr="00B74094">
        <w:rPr>
          <w:b/>
          <w:spacing w:val="0"/>
          <w:sz w:val="22"/>
          <w:szCs w:val="22"/>
        </w:rPr>
        <w:t>Para efectos de derivados de crédito que involucren el intercambio de los flujos completos de un activo por una tasa de interés pactada (</w:t>
      </w:r>
      <w:r w:rsidR="00772717" w:rsidRPr="00B74094">
        <w:rPr>
          <w:b/>
          <w:i/>
          <w:spacing w:val="0"/>
          <w:sz w:val="22"/>
          <w:szCs w:val="22"/>
        </w:rPr>
        <w:t xml:space="preserve">Total </w:t>
      </w:r>
      <w:proofErr w:type="spellStart"/>
      <w:r w:rsidR="00772717" w:rsidRPr="00B74094">
        <w:rPr>
          <w:b/>
          <w:i/>
          <w:spacing w:val="0"/>
          <w:sz w:val="22"/>
          <w:szCs w:val="22"/>
        </w:rPr>
        <w:t>Return</w:t>
      </w:r>
      <w:proofErr w:type="spellEnd"/>
      <w:r w:rsidR="00772717" w:rsidRPr="00B74094">
        <w:rPr>
          <w:b/>
          <w:i/>
          <w:spacing w:val="0"/>
          <w:sz w:val="22"/>
          <w:szCs w:val="22"/>
        </w:rPr>
        <w:t xml:space="preserve"> Swaps), </w:t>
      </w:r>
      <w:r w:rsidR="00772717" w:rsidRPr="00B74094">
        <w:rPr>
          <w:b/>
          <w:spacing w:val="0"/>
          <w:sz w:val="22"/>
          <w:szCs w:val="22"/>
        </w:rPr>
        <w:t>deberán ser tratados como dos posiciones nocionales separadas</w:t>
      </w:r>
      <w:r>
        <w:rPr>
          <w:b/>
          <w:spacing w:val="0"/>
          <w:sz w:val="22"/>
          <w:szCs w:val="22"/>
        </w:rPr>
        <w:t>, así</w:t>
      </w:r>
      <w:r w:rsidR="00772717" w:rsidRPr="00B74094">
        <w:rPr>
          <w:b/>
          <w:spacing w:val="0"/>
          <w:sz w:val="22"/>
          <w:szCs w:val="22"/>
        </w:rPr>
        <w:t xml:space="preserve">: </w:t>
      </w:r>
    </w:p>
    <w:bookmarkEnd w:id="1"/>
    <w:p w14:paraId="3BA75BF5" w14:textId="77777777" w:rsidR="00772717" w:rsidRPr="00B74094" w:rsidRDefault="00772717" w:rsidP="00337AB5">
      <w:pPr>
        <w:pStyle w:val="Textoindependiente"/>
        <w:rPr>
          <w:b/>
          <w:spacing w:val="0"/>
          <w:sz w:val="22"/>
          <w:szCs w:val="22"/>
        </w:rPr>
      </w:pPr>
    </w:p>
    <w:p w14:paraId="1E7FAC22" w14:textId="7CBB02EE" w:rsidR="00772717" w:rsidRPr="00B74094" w:rsidRDefault="00772717" w:rsidP="00337AB5">
      <w:pPr>
        <w:pStyle w:val="Textoindependiente"/>
        <w:numPr>
          <w:ilvl w:val="0"/>
          <w:numId w:val="44"/>
        </w:numPr>
        <w:rPr>
          <w:b/>
          <w:spacing w:val="0"/>
          <w:sz w:val="22"/>
          <w:szCs w:val="22"/>
        </w:rPr>
      </w:pPr>
      <w:bookmarkStart w:id="2" w:name="_Hlk112242599"/>
      <w:r w:rsidRPr="00B74094">
        <w:rPr>
          <w:b/>
          <w:spacing w:val="0"/>
          <w:sz w:val="22"/>
          <w:szCs w:val="22"/>
        </w:rPr>
        <w:t xml:space="preserve">Una posición nocional larga </w:t>
      </w:r>
      <w:r w:rsidR="00BD5B0F">
        <w:rPr>
          <w:b/>
          <w:spacing w:val="0"/>
          <w:sz w:val="22"/>
          <w:szCs w:val="22"/>
        </w:rPr>
        <w:t>o</w:t>
      </w:r>
      <w:r w:rsidR="0017394E">
        <w:rPr>
          <w:b/>
          <w:spacing w:val="0"/>
          <w:sz w:val="22"/>
          <w:szCs w:val="22"/>
        </w:rPr>
        <w:t xml:space="preserve"> corta </w:t>
      </w:r>
      <w:r w:rsidRPr="00B74094">
        <w:rPr>
          <w:b/>
          <w:spacing w:val="0"/>
          <w:sz w:val="22"/>
          <w:szCs w:val="22"/>
        </w:rPr>
        <w:t>en el título de referencia</w:t>
      </w:r>
      <w:r w:rsidR="0017394E">
        <w:rPr>
          <w:b/>
          <w:spacing w:val="0"/>
          <w:sz w:val="22"/>
          <w:szCs w:val="22"/>
        </w:rPr>
        <w:t xml:space="preserve"> (subyacente del derivado)</w:t>
      </w:r>
      <w:r w:rsidRPr="00B74094">
        <w:rPr>
          <w:b/>
          <w:spacing w:val="0"/>
          <w:sz w:val="22"/>
          <w:szCs w:val="22"/>
        </w:rPr>
        <w:t xml:space="preserve"> que recibe o paga la entidad.</w:t>
      </w:r>
    </w:p>
    <w:bookmarkEnd w:id="2"/>
    <w:p w14:paraId="22FB5DEF" w14:textId="77777777" w:rsidR="0086605C" w:rsidRPr="00B74094" w:rsidRDefault="0086605C" w:rsidP="00337AB5">
      <w:pPr>
        <w:pStyle w:val="Textoindependiente"/>
        <w:ind w:left="360"/>
        <w:rPr>
          <w:b/>
          <w:spacing w:val="0"/>
          <w:sz w:val="22"/>
          <w:szCs w:val="22"/>
        </w:rPr>
      </w:pPr>
    </w:p>
    <w:p w14:paraId="204F5B8A" w14:textId="0C95E663" w:rsidR="00772717" w:rsidRPr="00B74094" w:rsidRDefault="00772717" w:rsidP="00337AB5">
      <w:pPr>
        <w:pStyle w:val="Textoindependiente"/>
        <w:numPr>
          <w:ilvl w:val="0"/>
          <w:numId w:val="44"/>
        </w:numPr>
        <w:rPr>
          <w:b/>
          <w:spacing w:val="0"/>
          <w:sz w:val="22"/>
          <w:szCs w:val="22"/>
        </w:rPr>
      </w:pPr>
      <w:bookmarkStart w:id="3" w:name="_Hlk112242625"/>
      <w:r w:rsidRPr="00B74094">
        <w:rPr>
          <w:b/>
          <w:spacing w:val="0"/>
          <w:sz w:val="22"/>
          <w:szCs w:val="22"/>
        </w:rPr>
        <w:t xml:space="preserve">Una posición nocional </w:t>
      </w:r>
      <w:r w:rsidR="0017394E">
        <w:rPr>
          <w:b/>
          <w:spacing w:val="0"/>
          <w:sz w:val="22"/>
          <w:szCs w:val="22"/>
        </w:rPr>
        <w:t xml:space="preserve">larga o </w:t>
      </w:r>
      <w:r w:rsidRPr="00B74094">
        <w:rPr>
          <w:b/>
          <w:spacing w:val="0"/>
          <w:sz w:val="22"/>
          <w:szCs w:val="22"/>
        </w:rPr>
        <w:t>corta en un título pactado a la tasa de interés que la entidad recibe</w:t>
      </w:r>
      <w:r w:rsidR="00AD3916" w:rsidRPr="00AD3916">
        <w:rPr>
          <w:b/>
          <w:spacing w:val="0"/>
          <w:sz w:val="22"/>
          <w:szCs w:val="22"/>
        </w:rPr>
        <w:t xml:space="preserve"> </w:t>
      </w:r>
      <w:r w:rsidR="00AD3916" w:rsidRPr="00B74094">
        <w:rPr>
          <w:b/>
          <w:spacing w:val="0"/>
          <w:sz w:val="22"/>
          <w:szCs w:val="22"/>
        </w:rPr>
        <w:t>o paga</w:t>
      </w:r>
      <w:r w:rsidRPr="00B74094">
        <w:rPr>
          <w:b/>
          <w:spacing w:val="0"/>
          <w:sz w:val="22"/>
          <w:szCs w:val="22"/>
        </w:rPr>
        <w:t xml:space="preserve">. </w:t>
      </w:r>
    </w:p>
    <w:bookmarkEnd w:id="3"/>
    <w:p w14:paraId="1F777C13" w14:textId="77777777" w:rsidR="00772717" w:rsidRPr="00B74094" w:rsidRDefault="00772717" w:rsidP="00337AB5">
      <w:pPr>
        <w:pStyle w:val="Textoindependiente"/>
        <w:rPr>
          <w:spacing w:val="0"/>
          <w:sz w:val="22"/>
          <w:szCs w:val="22"/>
        </w:rPr>
      </w:pPr>
    </w:p>
    <w:p w14:paraId="45DFAE8F" w14:textId="77777777" w:rsidR="00772717" w:rsidRPr="00B74094" w:rsidRDefault="00772717" w:rsidP="00337AB5">
      <w:pPr>
        <w:pStyle w:val="Textoindependiente"/>
        <w:rPr>
          <w:b/>
          <w:spacing w:val="0"/>
          <w:sz w:val="22"/>
          <w:szCs w:val="22"/>
        </w:rPr>
      </w:pPr>
      <w:bookmarkStart w:id="4" w:name="_Hlk112242654"/>
      <w:r w:rsidRPr="00B74094">
        <w:rPr>
          <w:b/>
          <w:spacing w:val="0"/>
          <w:sz w:val="22"/>
          <w:szCs w:val="22"/>
        </w:rPr>
        <w:t xml:space="preserve">Dependiendo de la naturaleza del título subyacente, se deberá aplicar el factor de riesgo correspondiente </w:t>
      </w:r>
      <w:r w:rsidR="000A7912" w:rsidRPr="00B74094">
        <w:rPr>
          <w:b/>
          <w:spacing w:val="0"/>
          <w:sz w:val="22"/>
          <w:szCs w:val="22"/>
        </w:rPr>
        <w:t>de acuerdo con lo previsto en el presente anexo</w:t>
      </w:r>
      <w:r w:rsidRPr="00B74094">
        <w:rPr>
          <w:b/>
          <w:spacing w:val="0"/>
          <w:sz w:val="22"/>
          <w:szCs w:val="22"/>
        </w:rPr>
        <w:t xml:space="preserve">.  </w:t>
      </w:r>
    </w:p>
    <w:bookmarkEnd w:id="4"/>
    <w:p w14:paraId="31386CA2" w14:textId="77777777" w:rsidR="00772717" w:rsidRPr="00B74094" w:rsidRDefault="00772717" w:rsidP="00F827C9">
      <w:pPr>
        <w:pStyle w:val="Textoindependiente"/>
        <w:rPr>
          <w:spacing w:val="0"/>
          <w:sz w:val="22"/>
          <w:szCs w:val="22"/>
        </w:rPr>
      </w:pPr>
    </w:p>
    <w:p w14:paraId="5CAC3DAB" w14:textId="77777777" w:rsidR="00F827C9" w:rsidRPr="00B74094" w:rsidRDefault="00F827C9" w:rsidP="00F827C9">
      <w:pPr>
        <w:pStyle w:val="Textoindependiente"/>
        <w:rPr>
          <w:b/>
          <w:spacing w:val="0"/>
          <w:sz w:val="22"/>
          <w:szCs w:val="22"/>
        </w:rPr>
      </w:pPr>
    </w:p>
    <w:p w14:paraId="56C6B983" w14:textId="77777777" w:rsidR="00F827C9" w:rsidRPr="00B74094" w:rsidRDefault="00F827C9" w:rsidP="00F827C9">
      <w:pPr>
        <w:pStyle w:val="Textoindependiente"/>
        <w:numPr>
          <w:ilvl w:val="0"/>
          <w:numId w:val="42"/>
        </w:numPr>
        <w:rPr>
          <w:b/>
          <w:spacing w:val="0"/>
          <w:sz w:val="22"/>
          <w:szCs w:val="22"/>
        </w:rPr>
      </w:pPr>
      <w:r w:rsidRPr="00B74094">
        <w:rPr>
          <w:b/>
          <w:spacing w:val="0"/>
          <w:sz w:val="22"/>
          <w:szCs w:val="22"/>
        </w:rPr>
        <w:t>Futuros, Forwards y Operaciones a Plazo sobre acciones (o índices de acciones)</w:t>
      </w:r>
    </w:p>
    <w:p w14:paraId="20C7C21D" w14:textId="77777777" w:rsidR="00F827C9" w:rsidRPr="00B74094" w:rsidRDefault="00F827C9" w:rsidP="00F827C9">
      <w:pPr>
        <w:pStyle w:val="Textoindependiente"/>
        <w:rPr>
          <w:spacing w:val="0"/>
          <w:sz w:val="22"/>
          <w:szCs w:val="22"/>
        </w:rPr>
      </w:pPr>
    </w:p>
    <w:p w14:paraId="2A6E9F1D" w14:textId="77777777" w:rsidR="00F827C9" w:rsidRPr="00B74094" w:rsidRDefault="00F827C9" w:rsidP="00F827C9">
      <w:pPr>
        <w:pStyle w:val="Textoindependiente"/>
        <w:rPr>
          <w:spacing w:val="0"/>
          <w:sz w:val="22"/>
          <w:szCs w:val="22"/>
        </w:rPr>
      </w:pPr>
      <w:r w:rsidRPr="00B74094">
        <w:rPr>
          <w:spacing w:val="0"/>
          <w:sz w:val="22"/>
          <w:szCs w:val="22"/>
        </w:rPr>
        <w:t>Estas operaciones deben descomponerse en dos (2) posiciones nocionales, una correspondiente a la acción (o índice de acciones) subyacente y otra correspondiente a un bono cero cupón con madurez residual igual al tiempo remanente para el cumplimiento del contrato.</w:t>
      </w:r>
    </w:p>
    <w:p w14:paraId="70DAE76F" w14:textId="77777777" w:rsidR="00F827C9" w:rsidRPr="00B74094" w:rsidRDefault="00F827C9" w:rsidP="00F827C9">
      <w:pPr>
        <w:pStyle w:val="Textoindependiente"/>
        <w:rPr>
          <w:spacing w:val="0"/>
          <w:sz w:val="22"/>
          <w:szCs w:val="22"/>
        </w:rPr>
      </w:pPr>
    </w:p>
    <w:p w14:paraId="18ED8D9B" w14:textId="77777777" w:rsidR="00F827C9" w:rsidRPr="00B74094" w:rsidRDefault="00F827C9" w:rsidP="00F827C9">
      <w:pPr>
        <w:pStyle w:val="Textoindependiente"/>
        <w:rPr>
          <w:spacing w:val="0"/>
          <w:sz w:val="22"/>
          <w:szCs w:val="22"/>
        </w:rPr>
      </w:pPr>
      <w:r w:rsidRPr="00B74094">
        <w:rPr>
          <w:spacing w:val="0"/>
          <w:sz w:val="22"/>
          <w:szCs w:val="22"/>
        </w:rPr>
        <w:t>Cuando la entidad tenga una posición larga en las operaciones de que trata el presente literal (es decir que se compromete a comprar una acción o índice de acciones a un precio previamente establecido en un punto de tiempo en el futuro), esta posición se descompone en:</w:t>
      </w:r>
    </w:p>
    <w:p w14:paraId="6C5E2595" w14:textId="77777777" w:rsidR="00F827C9" w:rsidRPr="00B74094" w:rsidRDefault="00F827C9" w:rsidP="00F827C9">
      <w:pPr>
        <w:pStyle w:val="Textoindependiente"/>
        <w:rPr>
          <w:spacing w:val="0"/>
          <w:sz w:val="22"/>
          <w:szCs w:val="22"/>
        </w:rPr>
      </w:pPr>
    </w:p>
    <w:p w14:paraId="72D4C0C2" w14:textId="77777777" w:rsidR="00F827C9" w:rsidRPr="00B74094" w:rsidRDefault="00F827C9" w:rsidP="00F827C9">
      <w:pPr>
        <w:pStyle w:val="Textoindependiente"/>
        <w:numPr>
          <w:ilvl w:val="0"/>
          <w:numId w:val="38"/>
        </w:numPr>
        <w:tabs>
          <w:tab w:val="clear" w:pos="360"/>
          <w:tab w:val="num" w:pos="720"/>
        </w:tabs>
        <w:ind w:left="720"/>
        <w:rPr>
          <w:spacing w:val="0"/>
          <w:sz w:val="22"/>
          <w:szCs w:val="22"/>
        </w:rPr>
      </w:pPr>
      <w:r w:rsidRPr="00B74094">
        <w:rPr>
          <w:spacing w:val="0"/>
          <w:sz w:val="22"/>
          <w:szCs w:val="22"/>
        </w:rPr>
        <w:t>Una posición nocional larga en el título subyacente.</w:t>
      </w:r>
    </w:p>
    <w:p w14:paraId="66F3C796" w14:textId="77777777" w:rsidR="00F827C9" w:rsidRPr="00B74094" w:rsidRDefault="00F827C9" w:rsidP="00F827C9">
      <w:pPr>
        <w:pStyle w:val="Textoindependiente"/>
        <w:numPr>
          <w:ilvl w:val="0"/>
          <w:numId w:val="38"/>
        </w:numPr>
        <w:tabs>
          <w:tab w:val="clear" w:pos="360"/>
          <w:tab w:val="num" w:pos="720"/>
        </w:tabs>
        <w:ind w:left="720"/>
        <w:rPr>
          <w:spacing w:val="0"/>
          <w:sz w:val="22"/>
          <w:szCs w:val="22"/>
        </w:rPr>
      </w:pPr>
      <w:r w:rsidRPr="00B74094">
        <w:rPr>
          <w:spacing w:val="0"/>
          <w:sz w:val="22"/>
          <w:szCs w:val="22"/>
        </w:rPr>
        <w:t>Una posición nocional corta en un bono cero cupón con madurez residual igual al tiempo que resta para el cumplimiento del contrato (el valor nominal de esta posición corresponde al precio pactado).</w:t>
      </w:r>
    </w:p>
    <w:p w14:paraId="313CC219" w14:textId="77777777" w:rsidR="00F827C9" w:rsidRPr="00B74094" w:rsidRDefault="00F827C9" w:rsidP="00F827C9">
      <w:pPr>
        <w:pStyle w:val="Textoindependiente"/>
        <w:rPr>
          <w:spacing w:val="0"/>
          <w:sz w:val="22"/>
          <w:szCs w:val="22"/>
        </w:rPr>
      </w:pPr>
    </w:p>
    <w:p w14:paraId="02EF158C" w14:textId="77777777" w:rsidR="00F827C9" w:rsidRPr="00B74094" w:rsidRDefault="00F827C9" w:rsidP="00F827C9">
      <w:pPr>
        <w:pStyle w:val="Textoindependiente"/>
        <w:rPr>
          <w:spacing w:val="0"/>
          <w:sz w:val="22"/>
          <w:szCs w:val="22"/>
        </w:rPr>
      </w:pPr>
      <w:r w:rsidRPr="00B74094">
        <w:rPr>
          <w:spacing w:val="0"/>
          <w:sz w:val="22"/>
          <w:szCs w:val="22"/>
        </w:rPr>
        <w:t>Para el caso contrario (posición corta en el futuro, el forward o la operación a plazo), la primera posición nocional descrita es corta y la segunda larga.</w:t>
      </w:r>
    </w:p>
    <w:p w14:paraId="291A54E2" w14:textId="77777777" w:rsidR="00F827C9" w:rsidRPr="00B74094" w:rsidRDefault="00F827C9" w:rsidP="00F827C9">
      <w:pPr>
        <w:pStyle w:val="Textoindependiente"/>
        <w:rPr>
          <w:spacing w:val="0"/>
          <w:sz w:val="22"/>
          <w:szCs w:val="22"/>
        </w:rPr>
      </w:pPr>
    </w:p>
    <w:p w14:paraId="72371E58" w14:textId="18ACD233" w:rsidR="00F827C9" w:rsidRDefault="00F827C9" w:rsidP="00F827C9">
      <w:pPr>
        <w:pStyle w:val="Textoindependiente"/>
        <w:rPr>
          <w:spacing w:val="0"/>
          <w:sz w:val="22"/>
          <w:szCs w:val="22"/>
        </w:rPr>
      </w:pPr>
      <w:r w:rsidRPr="00B74094">
        <w:rPr>
          <w:spacing w:val="0"/>
          <w:sz w:val="22"/>
          <w:szCs w:val="22"/>
        </w:rPr>
        <w:t>Sólo la posición en el bono cero cupón computará en el cálculo de riesgo de tasa de interés. La posición en acciones será incluida en el módulo de Riesgo de precio de</w:t>
      </w:r>
      <w:r w:rsidRPr="00B74094">
        <w:rPr>
          <w:b/>
          <w:spacing w:val="0"/>
          <w:sz w:val="22"/>
          <w:szCs w:val="22"/>
        </w:rPr>
        <w:t xml:space="preserve"> </w:t>
      </w:r>
      <w:r w:rsidRPr="00B74094">
        <w:rPr>
          <w:spacing w:val="0"/>
          <w:sz w:val="22"/>
          <w:szCs w:val="22"/>
        </w:rPr>
        <w:t>acciones.</w:t>
      </w:r>
    </w:p>
    <w:p w14:paraId="3908B230" w14:textId="77777777" w:rsidR="006F7220" w:rsidRPr="00B74094" w:rsidRDefault="006F7220" w:rsidP="00F827C9">
      <w:pPr>
        <w:pStyle w:val="Textoindependiente"/>
        <w:rPr>
          <w:spacing w:val="0"/>
          <w:sz w:val="22"/>
          <w:szCs w:val="22"/>
        </w:rPr>
      </w:pPr>
    </w:p>
    <w:p w14:paraId="4794084F" w14:textId="77777777" w:rsidR="00F827C9" w:rsidRPr="00B74094" w:rsidRDefault="00F827C9" w:rsidP="00F827C9">
      <w:pPr>
        <w:pStyle w:val="Textoindependiente"/>
        <w:numPr>
          <w:ilvl w:val="0"/>
          <w:numId w:val="42"/>
        </w:numPr>
        <w:rPr>
          <w:b/>
          <w:spacing w:val="0"/>
          <w:sz w:val="22"/>
          <w:szCs w:val="22"/>
        </w:rPr>
      </w:pPr>
      <w:r w:rsidRPr="00B74094">
        <w:rPr>
          <w:b/>
          <w:spacing w:val="0"/>
          <w:sz w:val="22"/>
          <w:szCs w:val="22"/>
        </w:rPr>
        <w:t>Operaciones Carrusel</w:t>
      </w:r>
    </w:p>
    <w:p w14:paraId="150F9FBC" w14:textId="77777777" w:rsidR="00F827C9" w:rsidRPr="00B74094" w:rsidRDefault="00F827C9" w:rsidP="00F827C9">
      <w:pPr>
        <w:pStyle w:val="Textoindependiente"/>
        <w:rPr>
          <w:spacing w:val="0"/>
          <w:sz w:val="22"/>
          <w:szCs w:val="22"/>
        </w:rPr>
      </w:pPr>
    </w:p>
    <w:p w14:paraId="136FAB64" w14:textId="77777777" w:rsidR="00F827C9" w:rsidRPr="00B74094" w:rsidRDefault="00F827C9" w:rsidP="00F827C9">
      <w:pPr>
        <w:pStyle w:val="Textoindependiente"/>
        <w:rPr>
          <w:spacing w:val="0"/>
          <w:sz w:val="22"/>
          <w:szCs w:val="22"/>
        </w:rPr>
      </w:pPr>
      <w:r w:rsidRPr="00B74094">
        <w:rPr>
          <w:spacing w:val="0"/>
          <w:sz w:val="22"/>
          <w:szCs w:val="22"/>
        </w:rPr>
        <w:t>En términos financieros, un carrusel consiste en una secuencia de operaciones de compra y venta de un título a futuro. Por lo anterior, para efectos de la exposición a riesgos de mercado de que trata el presente capítulo, estas operaciones deberán ser tratadas como una serie de operaciones de compra y venta a futuro del título subyacente. Cada una de estas operaciones deberá ser tratada de acuerdo a lo estipulado en el literal b del presente numeral</w:t>
      </w:r>
      <w:r w:rsidRPr="00B74094">
        <w:rPr>
          <w:sz w:val="22"/>
          <w:szCs w:val="22"/>
        </w:rPr>
        <w:t>.</w:t>
      </w:r>
    </w:p>
    <w:p w14:paraId="3E0EE8BB" w14:textId="77777777" w:rsidR="00F827C9" w:rsidRPr="00B74094" w:rsidRDefault="00F827C9" w:rsidP="00F827C9">
      <w:pPr>
        <w:pStyle w:val="Textoindependiente"/>
        <w:ind w:left="360"/>
        <w:rPr>
          <w:spacing w:val="0"/>
          <w:sz w:val="22"/>
          <w:szCs w:val="22"/>
        </w:rPr>
      </w:pPr>
    </w:p>
    <w:p w14:paraId="5D0319C2" w14:textId="77777777" w:rsidR="00F827C9" w:rsidRPr="00B74094" w:rsidRDefault="00F827C9" w:rsidP="00F827C9">
      <w:pPr>
        <w:pStyle w:val="Textoindependiente"/>
        <w:numPr>
          <w:ilvl w:val="0"/>
          <w:numId w:val="42"/>
        </w:numPr>
        <w:rPr>
          <w:b/>
          <w:spacing w:val="0"/>
          <w:sz w:val="22"/>
          <w:szCs w:val="22"/>
        </w:rPr>
      </w:pPr>
      <w:r w:rsidRPr="00B74094">
        <w:rPr>
          <w:b/>
          <w:spacing w:val="0"/>
          <w:sz w:val="22"/>
          <w:szCs w:val="22"/>
        </w:rPr>
        <w:t>Opciones</w:t>
      </w:r>
    </w:p>
    <w:p w14:paraId="5B0020C9" w14:textId="77777777" w:rsidR="00F827C9" w:rsidRPr="00B74094" w:rsidRDefault="00F827C9" w:rsidP="00F827C9">
      <w:pPr>
        <w:pStyle w:val="Textoindependiente"/>
        <w:rPr>
          <w:spacing w:val="0"/>
          <w:sz w:val="22"/>
          <w:szCs w:val="22"/>
        </w:rPr>
      </w:pPr>
    </w:p>
    <w:p w14:paraId="2EF69BC8" w14:textId="77777777" w:rsidR="00F827C9" w:rsidRPr="00B74094" w:rsidRDefault="00F827C9" w:rsidP="00F827C9">
      <w:pPr>
        <w:pStyle w:val="Textoindependiente"/>
        <w:rPr>
          <w:spacing w:val="0"/>
          <w:sz w:val="22"/>
          <w:szCs w:val="22"/>
        </w:rPr>
      </w:pPr>
      <w:r w:rsidRPr="00B74094">
        <w:rPr>
          <w:spacing w:val="0"/>
          <w:sz w:val="22"/>
          <w:szCs w:val="22"/>
        </w:rPr>
        <w:t>El tratamiento de estas operaciones será descrito en la sección 2.1.6.</w:t>
      </w:r>
    </w:p>
    <w:p w14:paraId="45C31C8D" w14:textId="77777777" w:rsidR="00F827C9" w:rsidRPr="00B74094" w:rsidRDefault="00F827C9" w:rsidP="00F827C9">
      <w:pPr>
        <w:pStyle w:val="Textoindependiente"/>
        <w:ind w:left="708"/>
        <w:rPr>
          <w:spacing w:val="0"/>
          <w:sz w:val="22"/>
          <w:szCs w:val="22"/>
        </w:rPr>
      </w:pPr>
    </w:p>
    <w:p w14:paraId="692B1F58" w14:textId="77777777" w:rsidR="00F827C9" w:rsidRPr="00B74094" w:rsidRDefault="00F827C9" w:rsidP="00F827C9">
      <w:pPr>
        <w:pStyle w:val="Textoindependiente"/>
        <w:rPr>
          <w:spacing w:val="0"/>
          <w:sz w:val="22"/>
          <w:szCs w:val="22"/>
        </w:rPr>
      </w:pPr>
      <w:r w:rsidRPr="00B74094">
        <w:rPr>
          <w:spacing w:val="0"/>
          <w:sz w:val="22"/>
          <w:szCs w:val="22"/>
        </w:rPr>
        <w:t>Para valorar aquellas posiciones nocionales asimiladas a bonos cero cupón, se deberán seguir las siguientes indicaciones:</w:t>
      </w:r>
    </w:p>
    <w:p w14:paraId="365E4FCE" w14:textId="77777777" w:rsidR="00F827C9" w:rsidRPr="00B74094" w:rsidRDefault="00F827C9" w:rsidP="00F827C9">
      <w:pPr>
        <w:pStyle w:val="Textoindependiente"/>
        <w:rPr>
          <w:spacing w:val="0"/>
          <w:sz w:val="22"/>
          <w:szCs w:val="22"/>
        </w:rPr>
      </w:pPr>
    </w:p>
    <w:p w14:paraId="5B286DB2" w14:textId="77777777" w:rsidR="00F827C9" w:rsidRPr="00B74094" w:rsidRDefault="00F827C9" w:rsidP="00B74094">
      <w:pPr>
        <w:pStyle w:val="Textoindependiente"/>
        <w:numPr>
          <w:ilvl w:val="0"/>
          <w:numId w:val="29"/>
        </w:numPr>
        <w:tabs>
          <w:tab w:val="clear" w:pos="1080"/>
          <w:tab w:val="num" w:pos="709"/>
          <w:tab w:val="num" w:pos="3844"/>
        </w:tabs>
        <w:ind w:left="709" w:hanging="426"/>
        <w:rPr>
          <w:spacing w:val="0"/>
          <w:sz w:val="22"/>
          <w:szCs w:val="22"/>
        </w:rPr>
      </w:pPr>
      <w:r w:rsidRPr="00B74094">
        <w:rPr>
          <w:spacing w:val="0"/>
          <w:sz w:val="22"/>
          <w:szCs w:val="22"/>
        </w:rPr>
        <w:t xml:space="preserve">Cuando la posición se encuentre en moneda legal, se deberá utilizar la curva cero cupón  para títulos TES tasa fija en pesos, suministrada por el proveedor de precios para valoración designado como oficial para el segmento correspondiente; </w:t>
      </w:r>
    </w:p>
    <w:p w14:paraId="39053A07" w14:textId="77777777" w:rsidR="00F827C9" w:rsidRPr="00B74094" w:rsidRDefault="00F827C9" w:rsidP="00B74094">
      <w:pPr>
        <w:pStyle w:val="Textoindependiente"/>
        <w:tabs>
          <w:tab w:val="num" w:pos="3844"/>
        </w:tabs>
        <w:ind w:left="709"/>
        <w:rPr>
          <w:spacing w:val="0"/>
          <w:sz w:val="22"/>
          <w:szCs w:val="22"/>
        </w:rPr>
      </w:pPr>
    </w:p>
    <w:p w14:paraId="188FFBC2" w14:textId="77777777" w:rsidR="00F827C9" w:rsidRPr="00B74094" w:rsidRDefault="00F827C9" w:rsidP="00B74094">
      <w:pPr>
        <w:pStyle w:val="Textoindependiente"/>
        <w:numPr>
          <w:ilvl w:val="0"/>
          <w:numId w:val="29"/>
        </w:numPr>
        <w:tabs>
          <w:tab w:val="clear" w:pos="1080"/>
          <w:tab w:val="num" w:pos="709"/>
          <w:tab w:val="num" w:pos="3844"/>
        </w:tabs>
        <w:ind w:left="709" w:hanging="426"/>
        <w:rPr>
          <w:spacing w:val="0"/>
          <w:sz w:val="22"/>
          <w:szCs w:val="22"/>
        </w:rPr>
      </w:pPr>
      <w:r w:rsidRPr="00B74094">
        <w:rPr>
          <w:spacing w:val="0"/>
          <w:sz w:val="22"/>
          <w:szCs w:val="22"/>
        </w:rPr>
        <w:t>Cuando la posición se encuentre denominada en UVR se deberá utilizar la curva cero cupón para títulos TES en UVR, suministrada por el proveedor de precios para valoración designado como oficial para el segmento correspondiente.</w:t>
      </w:r>
    </w:p>
    <w:p w14:paraId="66B9F374" w14:textId="77777777" w:rsidR="00270105" w:rsidRDefault="00270105" w:rsidP="0074071A">
      <w:pPr>
        <w:pStyle w:val="Textoindependiente"/>
        <w:ind w:left="1080"/>
        <w:rPr>
          <w:spacing w:val="0"/>
          <w:sz w:val="22"/>
          <w:szCs w:val="22"/>
        </w:rPr>
      </w:pPr>
    </w:p>
    <w:p w14:paraId="06BD88E7" w14:textId="77777777" w:rsidR="003C6DB4" w:rsidRDefault="003C6DB4" w:rsidP="003C6DB4">
      <w:pPr>
        <w:pStyle w:val="Textoindependiente"/>
        <w:rPr>
          <w:spacing w:val="0"/>
          <w:sz w:val="22"/>
          <w:szCs w:val="22"/>
        </w:rPr>
        <w:sectPr w:rsidR="003C6DB4" w:rsidSect="0081767E">
          <w:headerReference w:type="first" r:id="rId17"/>
          <w:pgSz w:w="12242" w:h="20163" w:code="5"/>
          <w:pgMar w:top="1701" w:right="1701" w:bottom="3181" w:left="1701" w:header="709" w:footer="709" w:gutter="0"/>
          <w:pgNumType w:start="3"/>
          <w:cols w:space="720"/>
          <w:titlePg/>
          <w:docGrid w:linePitch="381"/>
        </w:sectPr>
      </w:pPr>
    </w:p>
    <w:p w14:paraId="3039BEA4" w14:textId="77777777" w:rsidR="00BE7A5E" w:rsidRPr="00B74094" w:rsidRDefault="00BE7A5E" w:rsidP="00BE7A5E">
      <w:pPr>
        <w:pStyle w:val="Textoindependiente"/>
        <w:numPr>
          <w:ilvl w:val="0"/>
          <w:numId w:val="31"/>
        </w:numPr>
        <w:rPr>
          <w:spacing w:val="0"/>
          <w:sz w:val="22"/>
          <w:szCs w:val="22"/>
        </w:rPr>
      </w:pPr>
      <w:r w:rsidRPr="00B74094">
        <w:rPr>
          <w:spacing w:val="0"/>
          <w:sz w:val="22"/>
          <w:szCs w:val="22"/>
        </w:rPr>
        <w:lastRenderedPageBreak/>
        <w:t xml:space="preserve">Para el caso de posiciones denominadas en moneda extranjera, la tasa de descuento aplicable es la tasa “London Interbank </w:t>
      </w:r>
      <w:proofErr w:type="spellStart"/>
      <w:r w:rsidRPr="00B74094">
        <w:rPr>
          <w:spacing w:val="0"/>
          <w:sz w:val="22"/>
          <w:szCs w:val="22"/>
        </w:rPr>
        <w:t>Offer</w:t>
      </w:r>
      <w:proofErr w:type="spellEnd"/>
      <w:r w:rsidRPr="00B74094">
        <w:rPr>
          <w:spacing w:val="0"/>
          <w:sz w:val="22"/>
          <w:szCs w:val="22"/>
        </w:rPr>
        <w:t xml:space="preserve"> </w:t>
      </w:r>
      <w:proofErr w:type="spellStart"/>
      <w:r w:rsidRPr="00B74094">
        <w:rPr>
          <w:spacing w:val="0"/>
          <w:sz w:val="22"/>
          <w:szCs w:val="22"/>
        </w:rPr>
        <w:t>Rate</w:t>
      </w:r>
      <w:proofErr w:type="spellEnd"/>
      <w:r w:rsidRPr="00B74094">
        <w:rPr>
          <w:spacing w:val="0"/>
          <w:sz w:val="22"/>
          <w:szCs w:val="22"/>
        </w:rPr>
        <w:t>” (LIBOR).</w:t>
      </w:r>
    </w:p>
    <w:p w14:paraId="32536050" w14:textId="77777777" w:rsidR="00BE7A5E" w:rsidRPr="00B74094" w:rsidRDefault="00BE7A5E" w:rsidP="00BE7A5E">
      <w:pPr>
        <w:pStyle w:val="Textoindependiente"/>
        <w:ind w:left="360"/>
        <w:rPr>
          <w:spacing w:val="0"/>
          <w:sz w:val="22"/>
          <w:szCs w:val="22"/>
        </w:rPr>
      </w:pPr>
    </w:p>
    <w:p w14:paraId="43A2A285" w14:textId="77777777" w:rsidR="00BE7A5E" w:rsidRPr="00B74094" w:rsidRDefault="00BE7A5E" w:rsidP="00B74094">
      <w:pPr>
        <w:pStyle w:val="Textoindependiente"/>
        <w:numPr>
          <w:ilvl w:val="0"/>
          <w:numId w:val="42"/>
        </w:numPr>
        <w:rPr>
          <w:b/>
          <w:spacing w:val="0"/>
          <w:sz w:val="22"/>
          <w:szCs w:val="22"/>
        </w:rPr>
      </w:pPr>
      <w:r w:rsidRPr="00B74094">
        <w:rPr>
          <w:b/>
          <w:spacing w:val="0"/>
          <w:sz w:val="22"/>
          <w:szCs w:val="22"/>
        </w:rPr>
        <w:t xml:space="preserve"> Notas estructuradas</w:t>
      </w:r>
    </w:p>
    <w:p w14:paraId="5141B0C4" w14:textId="77777777" w:rsidR="00BE7A5E" w:rsidRPr="00B74094" w:rsidRDefault="00BE7A5E" w:rsidP="00BE7A5E">
      <w:pPr>
        <w:pStyle w:val="Textoindependiente"/>
        <w:rPr>
          <w:b/>
          <w:spacing w:val="0"/>
          <w:sz w:val="22"/>
          <w:szCs w:val="22"/>
          <w:highlight w:val="yellow"/>
        </w:rPr>
      </w:pPr>
    </w:p>
    <w:p w14:paraId="602730FC" w14:textId="77777777" w:rsidR="00BE7A5E" w:rsidRPr="00B74094" w:rsidRDefault="00BE7A5E" w:rsidP="00BE7A5E">
      <w:pPr>
        <w:pStyle w:val="Textoindependiente"/>
        <w:ind w:left="708"/>
        <w:rPr>
          <w:spacing w:val="0"/>
          <w:sz w:val="22"/>
          <w:szCs w:val="22"/>
        </w:rPr>
      </w:pPr>
      <w:r w:rsidRPr="00B74094">
        <w:rPr>
          <w:spacing w:val="0"/>
          <w:sz w:val="22"/>
          <w:szCs w:val="22"/>
        </w:rPr>
        <w:t>El riesgo de mercado de las notas estructuradas que puedan descomponerse en instrumentos de renta fija o variable e instrumentos derivados deberá calcularse para cada uno de sus componentes.</w:t>
      </w:r>
    </w:p>
    <w:p w14:paraId="5A8F0EF5" w14:textId="77777777" w:rsidR="00BE7A5E" w:rsidRPr="00B74094" w:rsidRDefault="00BE7A5E" w:rsidP="00BE7A5E">
      <w:pPr>
        <w:pStyle w:val="Textoindependiente"/>
        <w:rPr>
          <w:b/>
          <w:spacing w:val="0"/>
          <w:sz w:val="22"/>
          <w:szCs w:val="22"/>
          <w:highlight w:val="yellow"/>
        </w:rPr>
      </w:pPr>
    </w:p>
    <w:p w14:paraId="3D3DBDEC" w14:textId="79DF2FAA" w:rsidR="00BE7A5E" w:rsidRPr="00B74094" w:rsidRDefault="00BE7A5E" w:rsidP="00BE7A5E">
      <w:pPr>
        <w:pStyle w:val="Textoindependiente"/>
        <w:pBdr>
          <w:left w:val="single" w:sz="4" w:space="4" w:color="auto"/>
        </w:pBdr>
        <w:ind w:left="708"/>
        <w:rPr>
          <w:b/>
          <w:spacing w:val="0"/>
          <w:sz w:val="22"/>
          <w:szCs w:val="22"/>
        </w:rPr>
      </w:pPr>
      <w:r w:rsidRPr="00B74094">
        <w:rPr>
          <w:spacing w:val="0"/>
          <w:sz w:val="22"/>
          <w:szCs w:val="22"/>
        </w:rPr>
        <w:t>Cuando se trate de notas estructuradas que, de acuerdo con su valoración, puedan descomponerse, el riesgo de mercado deberá calcularse teniendo en cuenta:(i)  el módulo de tasa de interés, de acuerdo con las reglas contenidas en el numeral 2.1.2 de este anexo, cuando se trate de instrumentos de renta fija; (</w:t>
      </w:r>
      <w:proofErr w:type="spellStart"/>
      <w:r w:rsidRPr="00B74094">
        <w:rPr>
          <w:spacing w:val="0"/>
          <w:sz w:val="22"/>
          <w:szCs w:val="22"/>
        </w:rPr>
        <w:t>ii</w:t>
      </w:r>
      <w:proofErr w:type="spellEnd"/>
      <w:r w:rsidRPr="00B74094">
        <w:rPr>
          <w:spacing w:val="0"/>
          <w:sz w:val="22"/>
          <w:szCs w:val="22"/>
        </w:rPr>
        <w:t>) el factor de riesgo de tasa de cambio, de acuerdo con las reglas contenidas en el numeral 2.1.3 del presente anexo; (</w:t>
      </w:r>
      <w:proofErr w:type="spellStart"/>
      <w:r w:rsidRPr="00B74094">
        <w:rPr>
          <w:spacing w:val="0"/>
          <w:sz w:val="22"/>
          <w:szCs w:val="22"/>
        </w:rPr>
        <w:t>iii</w:t>
      </w:r>
      <w:proofErr w:type="spellEnd"/>
      <w:r w:rsidRPr="00B74094">
        <w:rPr>
          <w:spacing w:val="0"/>
          <w:sz w:val="22"/>
          <w:szCs w:val="22"/>
        </w:rPr>
        <w:t>) el  factor de riesgo de precio de acciones o índice accionario, de acuerdo con las reglas contenidas en el numeral 2.1.4 del presente anexo, para el caso de instrumentos de renta variable,</w:t>
      </w:r>
      <w:r w:rsidRPr="00B74094">
        <w:rPr>
          <w:b/>
          <w:spacing w:val="0"/>
          <w:sz w:val="22"/>
          <w:szCs w:val="22"/>
        </w:rPr>
        <w:t xml:space="preserve"> y (</w:t>
      </w:r>
      <w:proofErr w:type="spellStart"/>
      <w:r w:rsidRPr="00B74094">
        <w:rPr>
          <w:b/>
          <w:spacing w:val="0"/>
          <w:sz w:val="22"/>
          <w:szCs w:val="22"/>
        </w:rPr>
        <w:t>iv</w:t>
      </w:r>
      <w:proofErr w:type="spellEnd"/>
      <w:r w:rsidRPr="00B74094">
        <w:rPr>
          <w:b/>
          <w:spacing w:val="0"/>
          <w:sz w:val="22"/>
          <w:szCs w:val="22"/>
        </w:rPr>
        <w:t>) el factor de riesgo de operaciones de</w:t>
      </w:r>
      <w:r w:rsidR="006C7B60" w:rsidRPr="00B74094">
        <w:rPr>
          <w:b/>
          <w:spacing w:val="0"/>
          <w:sz w:val="22"/>
          <w:szCs w:val="22"/>
        </w:rPr>
        <w:t xml:space="preserve"> derivados de crédito</w:t>
      </w:r>
      <w:r w:rsidRPr="00B74094">
        <w:rPr>
          <w:b/>
          <w:spacing w:val="0"/>
          <w:sz w:val="22"/>
          <w:szCs w:val="22"/>
        </w:rPr>
        <w:t xml:space="preserve">, de acuerdo con las reglas contenidas en el </w:t>
      </w:r>
      <w:proofErr w:type="spellStart"/>
      <w:r w:rsidR="003337C7">
        <w:rPr>
          <w:b/>
          <w:spacing w:val="0"/>
          <w:sz w:val="22"/>
          <w:szCs w:val="22"/>
        </w:rPr>
        <w:t>sub</w:t>
      </w:r>
      <w:r w:rsidRPr="00B74094">
        <w:rPr>
          <w:b/>
          <w:spacing w:val="0"/>
          <w:sz w:val="22"/>
          <w:szCs w:val="22"/>
        </w:rPr>
        <w:t>numeral</w:t>
      </w:r>
      <w:proofErr w:type="spellEnd"/>
      <w:r w:rsidRPr="00B74094">
        <w:rPr>
          <w:b/>
          <w:spacing w:val="0"/>
          <w:sz w:val="22"/>
          <w:szCs w:val="22"/>
        </w:rPr>
        <w:t xml:space="preserve"> 2.1.7 del presente anexo.</w:t>
      </w:r>
    </w:p>
    <w:p w14:paraId="04ABD650" w14:textId="77777777" w:rsidR="00BE7A5E" w:rsidRPr="00B74094" w:rsidRDefault="00BE7A5E" w:rsidP="00BE7A5E">
      <w:pPr>
        <w:pStyle w:val="Textoindependiente"/>
        <w:ind w:left="708"/>
        <w:rPr>
          <w:b/>
          <w:spacing w:val="0"/>
          <w:sz w:val="22"/>
          <w:szCs w:val="22"/>
        </w:rPr>
      </w:pPr>
    </w:p>
    <w:p w14:paraId="4F496ACB" w14:textId="77777777" w:rsidR="00BE7A5E" w:rsidRPr="00B74094" w:rsidRDefault="00BE7A5E" w:rsidP="00BE7A5E">
      <w:pPr>
        <w:pStyle w:val="Textoindependiente"/>
        <w:ind w:left="708"/>
        <w:rPr>
          <w:spacing w:val="0"/>
          <w:sz w:val="22"/>
          <w:szCs w:val="22"/>
        </w:rPr>
      </w:pPr>
      <w:r w:rsidRPr="00B74094">
        <w:rPr>
          <w:spacing w:val="0"/>
          <w:sz w:val="22"/>
          <w:szCs w:val="22"/>
        </w:rPr>
        <w:t>Cuando se trate de notas estructuradas que, de acuerdo con su valoración, no puedan descomponerse y se asemejen en su comportamiento y estructura a una opción, el riesgo de mercado deberá calcularse de acuerdo con las reglas contenidas en el numeral 2.1.6 del presente instructivo.</w:t>
      </w:r>
    </w:p>
    <w:p w14:paraId="4E92BC45" w14:textId="77777777" w:rsidR="00BE7A5E" w:rsidRPr="00B74094" w:rsidRDefault="00BE7A5E" w:rsidP="00BE7A5E">
      <w:pPr>
        <w:pStyle w:val="Textoindependiente"/>
        <w:ind w:left="360"/>
        <w:rPr>
          <w:spacing w:val="0"/>
          <w:sz w:val="22"/>
          <w:szCs w:val="22"/>
        </w:rPr>
      </w:pPr>
    </w:p>
    <w:p w14:paraId="6E4D8AB1" w14:textId="77777777" w:rsidR="00BE7A5E" w:rsidRPr="00B74094" w:rsidRDefault="00BE7A5E" w:rsidP="00BE7A5E">
      <w:pPr>
        <w:pStyle w:val="Textoindependiente"/>
        <w:ind w:left="360"/>
        <w:rPr>
          <w:spacing w:val="0"/>
          <w:sz w:val="22"/>
          <w:szCs w:val="22"/>
        </w:rPr>
      </w:pPr>
    </w:p>
    <w:p w14:paraId="2FCE8A29" w14:textId="77777777" w:rsidR="00BE7A5E" w:rsidRPr="00B74094" w:rsidRDefault="00BE7A5E" w:rsidP="00B74094">
      <w:pPr>
        <w:pStyle w:val="Textoindependiente"/>
        <w:numPr>
          <w:ilvl w:val="0"/>
          <w:numId w:val="42"/>
        </w:numPr>
        <w:rPr>
          <w:b/>
          <w:spacing w:val="0"/>
          <w:sz w:val="22"/>
          <w:szCs w:val="22"/>
        </w:rPr>
      </w:pPr>
      <w:r w:rsidRPr="00B74094">
        <w:rPr>
          <w:b/>
          <w:spacing w:val="0"/>
          <w:sz w:val="22"/>
          <w:szCs w:val="22"/>
        </w:rPr>
        <w:t>Inversiones clasificadas hasta el vencimiento entregadas como garantías</w:t>
      </w:r>
    </w:p>
    <w:p w14:paraId="21970310" w14:textId="77777777" w:rsidR="00BE7A5E" w:rsidRPr="00B74094" w:rsidRDefault="00BE7A5E" w:rsidP="00BE7A5E">
      <w:pPr>
        <w:pStyle w:val="Textoindependiente"/>
        <w:rPr>
          <w:b/>
          <w:spacing w:val="0"/>
          <w:sz w:val="22"/>
          <w:szCs w:val="22"/>
        </w:rPr>
      </w:pPr>
    </w:p>
    <w:p w14:paraId="395D512F" w14:textId="77777777" w:rsidR="00BE7A5E" w:rsidRPr="00B74094" w:rsidRDefault="00BE7A5E" w:rsidP="00BE7A5E">
      <w:pPr>
        <w:pStyle w:val="Textoindependiente"/>
        <w:ind w:left="360"/>
        <w:rPr>
          <w:spacing w:val="0"/>
          <w:sz w:val="22"/>
          <w:szCs w:val="22"/>
        </w:rPr>
      </w:pPr>
      <w:r w:rsidRPr="00B74094">
        <w:rPr>
          <w:spacing w:val="0"/>
          <w:sz w:val="22"/>
          <w:szCs w:val="22"/>
        </w:rPr>
        <w:t>Las inversiones que sean entregadas como garantías en una cámara de riesgo central de contraparte con el fin de respaldar el cumplimiento de las operaciones aceptadas para su compensación y liquidación deberán ser tenidas en cuenta para el cálculo de la exposición al riesgo de tasa de interés, por su valor de mercado, independientemente de su clasificación contable.</w:t>
      </w:r>
    </w:p>
    <w:p w14:paraId="4C003FC8" w14:textId="77777777" w:rsidR="00BE7A5E" w:rsidRPr="00B74094" w:rsidRDefault="00BE7A5E" w:rsidP="00BE7A5E">
      <w:pPr>
        <w:pStyle w:val="Textoindependiente"/>
        <w:ind w:left="360"/>
        <w:rPr>
          <w:spacing w:val="0"/>
          <w:sz w:val="22"/>
          <w:szCs w:val="22"/>
        </w:rPr>
      </w:pPr>
    </w:p>
    <w:p w14:paraId="409BAEFA" w14:textId="77777777" w:rsidR="00BE7A5E" w:rsidRPr="00B74094" w:rsidRDefault="00BE7A5E" w:rsidP="00BE7A5E">
      <w:pPr>
        <w:pStyle w:val="Textoindependiente"/>
        <w:ind w:left="360"/>
        <w:rPr>
          <w:spacing w:val="0"/>
          <w:sz w:val="22"/>
          <w:szCs w:val="22"/>
        </w:rPr>
      </w:pPr>
      <w:r w:rsidRPr="00B74094">
        <w:rPr>
          <w:spacing w:val="0"/>
          <w:sz w:val="22"/>
          <w:szCs w:val="22"/>
        </w:rPr>
        <w:t>Así mismo, en el evento en que estas inversiones estén expresadas en moneda diferente a moneda legal, deberán tenerse en cuenta adicionalmente en el cálculo de la exposición al riesgo de tasa de cambio.</w:t>
      </w:r>
    </w:p>
    <w:p w14:paraId="2F948610" w14:textId="77777777" w:rsidR="00BE7A5E" w:rsidRPr="00B74094" w:rsidRDefault="00BE7A5E" w:rsidP="00BE7A5E">
      <w:pPr>
        <w:pStyle w:val="Textoindependiente"/>
        <w:ind w:left="720"/>
        <w:rPr>
          <w:b/>
          <w:spacing w:val="0"/>
          <w:sz w:val="22"/>
          <w:szCs w:val="22"/>
        </w:rPr>
      </w:pPr>
    </w:p>
    <w:p w14:paraId="6FE7D419" w14:textId="77777777" w:rsidR="00BE7A5E" w:rsidRPr="00B74094" w:rsidRDefault="00BE7A5E" w:rsidP="00BE7A5E">
      <w:pPr>
        <w:pStyle w:val="Textoindependiente"/>
        <w:rPr>
          <w:b/>
          <w:bCs/>
          <w:sz w:val="22"/>
          <w:szCs w:val="22"/>
        </w:rPr>
      </w:pPr>
    </w:p>
    <w:p w14:paraId="2BC0BD71" w14:textId="77777777" w:rsidR="00BE7A5E" w:rsidRPr="00B74094" w:rsidRDefault="00BE7A5E" w:rsidP="00BE7A5E">
      <w:pPr>
        <w:pStyle w:val="Textoindependiente"/>
        <w:rPr>
          <w:b/>
          <w:bCs/>
          <w:spacing w:val="0"/>
          <w:sz w:val="22"/>
          <w:szCs w:val="22"/>
        </w:rPr>
      </w:pPr>
      <w:r w:rsidRPr="00B74094">
        <w:rPr>
          <w:b/>
          <w:bCs/>
          <w:spacing w:val="0"/>
          <w:sz w:val="22"/>
          <w:szCs w:val="22"/>
        </w:rPr>
        <w:t>2.1.1.2 Operaciones de reporto o repo, operaciones simultáneas y operaciones de transferencia temporal de valores</w:t>
      </w:r>
    </w:p>
    <w:p w14:paraId="1C30635B" w14:textId="77777777" w:rsidR="00BE7A5E" w:rsidRPr="00B74094" w:rsidRDefault="00BE7A5E" w:rsidP="00BE7A5E">
      <w:pPr>
        <w:pStyle w:val="Textoindependiente"/>
        <w:rPr>
          <w:b/>
          <w:bCs/>
          <w:spacing w:val="0"/>
          <w:sz w:val="22"/>
          <w:szCs w:val="22"/>
        </w:rPr>
      </w:pPr>
    </w:p>
    <w:p w14:paraId="07606298" w14:textId="77777777" w:rsidR="00BE7A5E" w:rsidRPr="00B74094" w:rsidRDefault="00BE7A5E" w:rsidP="00BE7A5E">
      <w:pPr>
        <w:pStyle w:val="Textoindependiente"/>
        <w:rPr>
          <w:spacing w:val="0"/>
          <w:sz w:val="22"/>
          <w:szCs w:val="22"/>
        </w:rPr>
      </w:pPr>
      <w:r w:rsidRPr="00B74094">
        <w:rPr>
          <w:spacing w:val="0"/>
          <w:sz w:val="22"/>
          <w:szCs w:val="22"/>
        </w:rPr>
        <w:t xml:space="preserve">Las operaciones a que hace referencia el presente </w:t>
      </w:r>
      <w:proofErr w:type="spellStart"/>
      <w:r w:rsidRPr="00B74094">
        <w:rPr>
          <w:spacing w:val="0"/>
          <w:sz w:val="22"/>
          <w:szCs w:val="22"/>
        </w:rPr>
        <w:t>subnumeral</w:t>
      </w:r>
      <w:proofErr w:type="spellEnd"/>
      <w:r w:rsidRPr="00B74094">
        <w:rPr>
          <w:spacing w:val="0"/>
          <w:sz w:val="22"/>
          <w:szCs w:val="22"/>
        </w:rPr>
        <w:t xml:space="preserve"> generan un intercambio de valores y de dinero entre las partes, con el compromiso de reversarlo al final de la operación.</w:t>
      </w:r>
    </w:p>
    <w:p w14:paraId="17B30E1B" w14:textId="77777777" w:rsidR="00BE7A5E" w:rsidRPr="00B74094" w:rsidRDefault="00BE7A5E" w:rsidP="00BE7A5E">
      <w:pPr>
        <w:pStyle w:val="Textoindependiente"/>
        <w:rPr>
          <w:spacing w:val="0"/>
          <w:sz w:val="22"/>
          <w:szCs w:val="22"/>
        </w:rPr>
      </w:pPr>
    </w:p>
    <w:p w14:paraId="4B30CDB7" w14:textId="77777777" w:rsidR="00BE7A5E" w:rsidRPr="00B74094" w:rsidRDefault="00BE7A5E" w:rsidP="00BE7A5E">
      <w:pPr>
        <w:pStyle w:val="Textoindependiente"/>
        <w:rPr>
          <w:spacing w:val="0"/>
          <w:sz w:val="22"/>
          <w:szCs w:val="22"/>
        </w:rPr>
      </w:pPr>
      <w:r w:rsidRPr="00B74094">
        <w:rPr>
          <w:spacing w:val="0"/>
          <w:sz w:val="22"/>
          <w:szCs w:val="22"/>
        </w:rPr>
        <w:t>En las operaciones de reporto o repo (repo) y simultáneas, el “Enajenante” le entrega valores al ”Adquirente”, y al hacerlo le transfiere la propiedad de éstos. A cambio, el ”Adquirente” le entrega dinero al ”Enajenante”. De manera análoga, en las operaciones de transferencia temporal de valores el ”Originador” le entrega  valores al “Receptor” y, al hacerlo, le transfiere la propiedad de éstos. A cambio, el ”Receptor” le entrega dinero o valores al “Originador”, en cuyo caso también se transfiere la propiedad.</w:t>
      </w:r>
    </w:p>
    <w:p w14:paraId="2A50D041" w14:textId="77777777" w:rsidR="00BE7A5E" w:rsidRPr="00B74094" w:rsidRDefault="00BE7A5E" w:rsidP="00BE7A5E">
      <w:pPr>
        <w:pStyle w:val="Textoindependiente"/>
        <w:rPr>
          <w:spacing w:val="0"/>
          <w:sz w:val="22"/>
          <w:szCs w:val="22"/>
        </w:rPr>
      </w:pPr>
    </w:p>
    <w:p w14:paraId="7952213B" w14:textId="77777777" w:rsidR="0081767E" w:rsidRDefault="00B74094" w:rsidP="00B74094">
      <w:pPr>
        <w:pStyle w:val="Textoindependiente"/>
        <w:rPr>
          <w:spacing w:val="0"/>
          <w:sz w:val="22"/>
          <w:szCs w:val="22"/>
        </w:rPr>
        <w:sectPr w:rsidR="0081767E" w:rsidSect="0081767E">
          <w:headerReference w:type="first" r:id="rId18"/>
          <w:footerReference w:type="first" r:id="rId19"/>
          <w:pgSz w:w="12242" w:h="18711" w:code="166"/>
          <w:pgMar w:top="1701" w:right="1701" w:bottom="1985" w:left="1701" w:header="284" w:footer="709" w:gutter="0"/>
          <w:pgNumType w:start="16"/>
          <w:cols w:space="720"/>
          <w:titlePg/>
          <w:docGrid w:linePitch="381"/>
        </w:sectPr>
      </w:pPr>
      <w:r w:rsidRPr="00B74094">
        <w:rPr>
          <w:spacing w:val="0"/>
          <w:sz w:val="22"/>
          <w:szCs w:val="22"/>
        </w:rPr>
        <w:t>Dado que en las tres (3) operaciones mencionadas la vocación del valor es regresar a manos del “Enajenante”, del “Originador” o del “Receptor”, según sea el caso, la realidad financiera de la operación exige que el riesgo siga en el balance de las entidades que entregaron los valores al principio de las mismas</w:t>
      </w:r>
      <w:r w:rsidR="0081767E">
        <w:rPr>
          <w:spacing w:val="0"/>
          <w:sz w:val="22"/>
          <w:szCs w:val="22"/>
        </w:rPr>
        <w:t>.</w:t>
      </w:r>
    </w:p>
    <w:p w14:paraId="5ED1C98C" w14:textId="77777777" w:rsidR="00BE7A5E" w:rsidRPr="007276F1" w:rsidRDefault="00BE7A5E" w:rsidP="0081767E">
      <w:pPr>
        <w:pStyle w:val="Textoindependiente"/>
        <w:numPr>
          <w:ilvl w:val="1"/>
          <w:numId w:val="1"/>
        </w:numPr>
        <w:rPr>
          <w:spacing w:val="0"/>
          <w:sz w:val="22"/>
          <w:szCs w:val="22"/>
        </w:rPr>
      </w:pPr>
      <w:r w:rsidRPr="007276F1">
        <w:rPr>
          <w:spacing w:val="0"/>
          <w:sz w:val="22"/>
          <w:szCs w:val="22"/>
        </w:rPr>
        <w:lastRenderedPageBreak/>
        <w:t>Por banda en las escaleras de duración modificada en el caso de opciones con subyacentes expuestos a riesgo de tasa de interés.</w:t>
      </w:r>
    </w:p>
    <w:p w14:paraId="312DD61A" w14:textId="77777777" w:rsidR="00BE7A5E" w:rsidRPr="007276F1" w:rsidRDefault="00BE7A5E" w:rsidP="00BE7A5E">
      <w:pPr>
        <w:pStyle w:val="Textoindependiente"/>
        <w:numPr>
          <w:ilvl w:val="1"/>
          <w:numId w:val="1"/>
        </w:numPr>
        <w:rPr>
          <w:spacing w:val="0"/>
          <w:sz w:val="22"/>
          <w:szCs w:val="22"/>
        </w:rPr>
      </w:pPr>
      <w:r w:rsidRPr="007276F1">
        <w:rPr>
          <w:spacing w:val="0"/>
          <w:sz w:val="22"/>
          <w:szCs w:val="22"/>
        </w:rPr>
        <w:t>Por mercado nacional en el caso de opciones con subyacentes expuestos a riesgo de cambios en el precio de acciones.</w:t>
      </w:r>
    </w:p>
    <w:p w14:paraId="467B7FE8" w14:textId="77777777" w:rsidR="00BE7A5E" w:rsidRPr="007276F1" w:rsidRDefault="00BE7A5E" w:rsidP="00BE7A5E">
      <w:pPr>
        <w:pStyle w:val="Textoindependiente"/>
        <w:numPr>
          <w:ilvl w:val="1"/>
          <w:numId w:val="1"/>
        </w:numPr>
        <w:rPr>
          <w:spacing w:val="0"/>
          <w:sz w:val="22"/>
          <w:szCs w:val="22"/>
        </w:rPr>
      </w:pPr>
      <w:r w:rsidRPr="007276F1">
        <w:rPr>
          <w:spacing w:val="0"/>
          <w:sz w:val="22"/>
          <w:szCs w:val="22"/>
        </w:rPr>
        <w:t>Por moneda en el caso de opciones con subyacentes expuestos a riesgo de tasa de cambio.</w:t>
      </w:r>
    </w:p>
    <w:p w14:paraId="0AE6C6AB" w14:textId="77777777" w:rsidR="00BE7A5E" w:rsidRPr="007276F1" w:rsidRDefault="00BE7A5E" w:rsidP="00BE7A5E">
      <w:pPr>
        <w:pStyle w:val="Textoindependiente"/>
        <w:rPr>
          <w:spacing w:val="0"/>
          <w:sz w:val="22"/>
          <w:szCs w:val="22"/>
        </w:rPr>
      </w:pPr>
    </w:p>
    <w:p w14:paraId="52604A5D" w14:textId="77777777" w:rsidR="00BE7A5E" w:rsidRPr="007276F1" w:rsidRDefault="00BE7A5E" w:rsidP="00BE7A5E">
      <w:pPr>
        <w:pStyle w:val="Textoindependiente"/>
        <w:ind w:left="708"/>
        <w:rPr>
          <w:spacing w:val="0"/>
          <w:sz w:val="22"/>
          <w:szCs w:val="22"/>
        </w:rPr>
      </w:pPr>
      <w:r w:rsidRPr="007276F1">
        <w:rPr>
          <w:spacing w:val="0"/>
          <w:sz w:val="22"/>
          <w:szCs w:val="22"/>
        </w:rPr>
        <w:t>Para cada grupo se calcula un impacto gamma neto, como la suma de los impactos gamma de todas las posiciones en la agrupación. Para el cálculo de los requerimientos de capital solamente se tienen en cuenta, en valor absoluto, los impactos gamma netos negativos.</w:t>
      </w:r>
    </w:p>
    <w:p w14:paraId="5311AD1F" w14:textId="77777777" w:rsidR="00BE7A5E" w:rsidRPr="007276F1" w:rsidRDefault="00BE7A5E" w:rsidP="00BE7A5E">
      <w:pPr>
        <w:pStyle w:val="Textoindependiente"/>
        <w:ind w:left="708"/>
        <w:rPr>
          <w:spacing w:val="0"/>
          <w:sz w:val="22"/>
          <w:szCs w:val="22"/>
        </w:rPr>
      </w:pPr>
    </w:p>
    <w:p w14:paraId="682B6835" w14:textId="77777777" w:rsidR="00BE7A5E" w:rsidRPr="007276F1" w:rsidRDefault="00BE7A5E" w:rsidP="00243197">
      <w:pPr>
        <w:pStyle w:val="Textoindependiente"/>
        <w:numPr>
          <w:ilvl w:val="0"/>
          <w:numId w:val="45"/>
        </w:numPr>
        <w:rPr>
          <w:spacing w:val="0"/>
          <w:sz w:val="22"/>
          <w:szCs w:val="22"/>
        </w:rPr>
      </w:pPr>
      <w:r w:rsidRPr="007276F1">
        <w:rPr>
          <w:spacing w:val="0"/>
          <w:sz w:val="22"/>
          <w:szCs w:val="22"/>
        </w:rPr>
        <w:t>Riesgo Vega</w:t>
      </w:r>
    </w:p>
    <w:p w14:paraId="6449B34F" w14:textId="77777777" w:rsidR="00BE7A5E" w:rsidRPr="007276F1" w:rsidRDefault="00BE7A5E" w:rsidP="00BE7A5E">
      <w:pPr>
        <w:pStyle w:val="Textoindependiente"/>
        <w:rPr>
          <w:spacing w:val="0"/>
          <w:sz w:val="22"/>
          <w:szCs w:val="22"/>
        </w:rPr>
      </w:pPr>
    </w:p>
    <w:p w14:paraId="7A70D9C7" w14:textId="77777777" w:rsidR="00BE7A5E" w:rsidRPr="007276F1" w:rsidRDefault="00BE7A5E" w:rsidP="00BE7A5E">
      <w:pPr>
        <w:pStyle w:val="Textoindependiente"/>
        <w:ind w:left="705"/>
        <w:rPr>
          <w:spacing w:val="0"/>
          <w:sz w:val="22"/>
          <w:szCs w:val="22"/>
        </w:rPr>
      </w:pPr>
      <w:r w:rsidRPr="007276F1">
        <w:rPr>
          <w:spacing w:val="0"/>
          <w:sz w:val="22"/>
          <w:szCs w:val="22"/>
        </w:rPr>
        <w:t>El riesgo vega refleja la sensibilidad del valor de las posiciones en opciones con respecto a cambios en la volatilidad del valor del instrumento subyacente. El cargo de capital correspondiente a este tipo de riesgo es calculado como la suma de los impactos vega de cada opción.</w:t>
      </w:r>
    </w:p>
    <w:p w14:paraId="565F9FB4" w14:textId="77777777" w:rsidR="00BE7A5E" w:rsidRPr="007276F1" w:rsidRDefault="00BE7A5E" w:rsidP="00BE7A5E">
      <w:pPr>
        <w:pStyle w:val="Textoindependiente"/>
        <w:ind w:left="705"/>
        <w:rPr>
          <w:spacing w:val="0"/>
          <w:sz w:val="22"/>
          <w:szCs w:val="22"/>
        </w:rPr>
      </w:pPr>
    </w:p>
    <w:p w14:paraId="2D7E9256" w14:textId="77777777" w:rsidR="00BE7A5E" w:rsidRPr="007276F1" w:rsidRDefault="00BE7A5E" w:rsidP="00BE7A5E">
      <w:pPr>
        <w:pStyle w:val="Textoindependiente"/>
        <w:ind w:left="705"/>
        <w:rPr>
          <w:spacing w:val="0"/>
          <w:sz w:val="22"/>
          <w:szCs w:val="22"/>
        </w:rPr>
      </w:pPr>
      <w:r w:rsidRPr="007276F1">
        <w:rPr>
          <w:spacing w:val="0"/>
          <w:sz w:val="22"/>
          <w:szCs w:val="22"/>
        </w:rPr>
        <w:t>Estos impactos se calculan aplicando a la volatilidad del valor subyacente asociado un cambio de 25% positivo o negativo según sea la posición (corta o larga), sobre el factor vega correspondiente.</w:t>
      </w:r>
    </w:p>
    <w:p w14:paraId="6BC0ADD4" w14:textId="77777777" w:rsidR="00BE7A5E" w:rsidRPr="007276F1" w:rsidRDefault="00BE7A5E" w:rsidP="00BE7A5E">
      <w:pPr>
        <w:pStyle w:val="Textoindependiente"/>
        <w:ind w:left="705"/>
        <w:rPr>
          <w:spacing w:val="0"/>
          <w:sz w:val="22"/>
          <w:szCs w:val="22"/>
        </w:rPr>
      </w:pPr>
    </w:p>
    <w:p w14:paraId="59D98DE2" w14:textId="77777777" w:rsidR="00BE7A5E" w:rsidRPr="007276F1" w:rsidRDefault="00BE7A5E" w:rsidP="00BE7A5E">
      <w:pPr>
        <w:pStyle w:val="Textoindependiente"/>
        <w:ind w:left="705"/>
        <w:rPr>
          <w:spacing w:val="0"/>
          <w:sz w:val="22"/>
          <w:szCs w:val="22"/>
        </w:rPr>
      </w:pPr>
      <w:r w:rsidRPr="007276F1">
        <w:rPr>
          <w:spacing w:val="0"/>
          <w:sz w:val="22"/>
          <w:szCs w:val="22"/>
        </w:rPr>
        <w:t>El factor vega correspondiente mide el cambio del valor de la opción ante un cambio unitario en la volatilidad del valor del instrumento subyacente.</w:t>
      </w:r>
    </w:p>
    <w:p w14:paraId="0A24F84A" w14:textId="77777777" w:rsidR="00BE7A5E" w:rsidRPr="007276F1" w:rsidRDefault="00BE7A5E" w:rsidP="00BE7A5E">
      <w:pPr>
        <w:pStyle w:val="Textoindependiente"/>
        <w:ind w:left="705"/>
        <w:rPr>
          <w:spacing w:val="0"/>
          <w:sz w:val="22"/>
          <w:szCs w:val="22"/>
        </w:rPr>
      </w:pPr>
    </w:p>
    <w:p w14:paraId="4755D28C" w14:textId="77777777" w:rsidR="00BE7A5E" w:rsidRDefault="00BE7A5E" w:rsidP="00BE7A5E">
      <w:pPr>
        <w:pStyle w:val="Textoindependiente"/>
        <w:rPr>
          <w:spacing w:val="0"/>
          <w:sz w:val="22"/>
          <w:szCs w:val="22"/>
        </w:rPr>
      </w:pPr>
      <w:r w:rsidRPr="007276F1">
        <w:rPr>
          <w:spacing w:val="0"/>
          <w:sz w:val="22"/>
          <w:szCs w:val="22"/>
        </w:rPr>
        <w:t>Para el cálculo de los factores de sensibilidad delta, gamma y vega, así como de las volatilidades de los subyacentes que se utilicen en el cálculo del riesgo vega, las instituciones financieras deben aplicar metodologías concordantes con los modelos para la valoración de dichos instrumentos, de acuerdo a lo estipulado en el Capítulo XVIII de la presente circular.</w:t>
      </w:r>
    </w:p>
    <w:p w14:paraId="427B3062" w14:textId="1B5F4E9A" w:rsidR="00BE7A5E" w:rsidRDefault="00BE7A5E" w:rsidP="00BE7A5E">
      <w:pPr>
        <w:pStyle w:val="Textoindependiente"/>
        <w:rPr>
          <w:spacing w:val="0"/>
          <w:sz w:val="22"/>
          <w:szCs w:val="22"/>
        </w:rPr>
      </w:pPr>
    </w:p>
    <w:p w14:paraId="0AFBEC2F" w14:textId="492774FD" w:rsidR="00BE7A5E" w:rsidRPr="00C03461" w:rsidRDefault="00BE7A5E" w:rsidP="00337AB5">
      <w:pPr>
        <w:rPr>
          <w:b/>
          <w:lang w:val="es-MX"/>
        </w:rPr>
      </w:pPr>
      <w:r w:rsidRPr="00C03461">
        <w:rPr>
          <w:b/>
          <w:bCs/>
          <w:spacing w:val="0"/>
          <w:sz w:val="22"/>
          <w:szCs w:val="22"/>
        </w:rPr>
        <w:t>2.1.</w:t>
      </w:r>
      <w:r>
        <w:rPr>
          <w:b/>
          <w:bCs/>
          <w:spacing w:val="0"/>
          <w:sz w:val="22"/>
          <w:szCs w:val="22"/>
        </w:rPr>
        <w:t>7.</w:t>
      </w:r>
      <w:r w:rsidRPr="00C03461">
        <w:rPr>
          <w:b/>
          <w:bCs/>
          <w:spacing w:val="0"/>
          <w:sz w:val="22"/>
          <w:szCs w:val="22"/>
        </w:rPr>
        <w:t xml:space="preserve"> Riesgo de </w:t>
      </w:r>
      <w:r w:rsidR="006C7B60">
        <w:rPr>
          <w:b/>
          <w:bCs/>
          <w:spacing w:val="0"/>
          <w:sz w:val="22"/>
          <w:szCs w:val="22"/>
        </w:rPr>
        <w:t>derivados de crédito</w:t>
      </w:r>
    </w:p>
    <w:p w14:paraId="7DA06C9C" w14:textId="29AA3AF1" w:rsidR="00BE7A5E" w:rsidRPr="00C03461" w:rsidRDefault="00BE7A5E" w:rsidP="00337AB5">
      <w:pPr>
        <w:pStyle w:val="Textoindependiente"/>
        <w:rPr>
          <w:spacing w:val="0"/>
          <w:sz w:val="22"/>
          <w:szCs w:val="22"/>
        </w:rPr>
      </w:pPr>
    </w:p>
    <w:p w14:paraId="0E739CF4" w14:textId="2E2D2700" w:rsidR="00BE7A5E" w:rsidRPr="00E2114A" w:rsidRDefault="00BE7A5E" w:rsidP="00027AE3">
      <w:pPr>
        <w:pStyle w:val="Textoindependiente"/>
        <w:pBdr>
          <w:left w:val="single" w:sz="4" w:space="4" w:color="auto"/>
        </w:pBdr>
        <w:rPr>
          <w:bCs/>
          <w:spacing w:val="0"/>
          <w:sz w:val="22"/>
          <w:szCs w:val="22"/>
        </w:rPr>
      </w:pPr>
      <w:r w:rsidRPr="00E2114A">
        <w:rPr>
          <w:bCs/>
          <w:spacing w:val="0"/>
          <w:sz w:val="22"/>
          <w:szCs w:val="22"/>
        </w:rPr>
        <w:t>Para las operaciones</w:t>
      </w:r>
      <w:r w:rsidRPr="00C03461">
        <w:rPr>
          <w:b/>
          <w:spacing w:val="0"/>
          <w:sz w:val="22"/>
          <w:szCs w:val="22"/>
        </w:rPr>
        <w:t xml:space="preserve"> de </w:t>
      </w:r>
      <w:r w:rsidR="006C7B60">
        <w:rPr>
          <w:b/>
          <w:spacing w:val="0"/>
          <w:sz w:val="22"/>
          <w:szCs w:val="22"/>
        </w:rPr>
        <w:t>derivados de crédito</w:t>
      </w:r>
      <w:r w:rsidRPr="00E2114A">
        <w:rPr>
          <w:bCs/>
          <w:spacing w:val="0"/>
          <w:sz w:val="22"/>
          <w:szCs w:val="22"/>
        </w:rPr>
        <w:t>, el cálculo del riesgo busca capturar el riesgo asociado a movimientos adversos en el valor razonable de</w:t>
      </w:r>
      <w:r w:rsidR="006C7B60" w:rsidRPr="00E2114A">
        <w:rPr>
          <w:bCs/>
          <w:spacing w:val="0"/>
          <w:sz w:val="22"/>
          <w:szCs w:val="22"/>
        </w:rPr>
        <w:t>l</w:t>
      </w:r>
      <w:r w:rsidR="006C7B60">
        <w:rPr>
          <w:b/>
          <w:spacing w:val="0"/>
          <w:sz w:val="22"/>
          <w:szCs w:val="22"/>
        </w:rPr>
        <w:t xml:space="preserve"> derivado de crédito</w:t>
      </w:r>
      <w:r w:rsidRPr="00E2114A">
        <w:rPr>
          <w:bCs/>
          <w:spacing w:val="0"/>
          <w:sz w:val="22"/>
          <w:szCs w:val="22"/>
        </w:rPr>
        <w:t>, y corresponde a la suma de las posiciones netas ponderadas en cada operación de</w:t>
      </w:r>
      <w:r>
        <w:rPr>
          <w:b/>
          <w:spacing w:val="0"/>
          <w:sz w:val="22"/>
          <w:szCs w:val="22"/>
        </w:rPr>
        <w:t xml:space="preserve"> </w:t>
      </w:r>
      <w:r w:rsidR="00AD2941">
        <w:rPr>
          <w:b/>
          <w:spacing w:val="0"/>
          <w:sz w:val="22"/>
          <w:szCs w:val="22"/>
        </w:rPr>
        <w:t>derivado de crédito</w:t>
      </w:r>
      <w:r>
        <w:rPr>
          <w:b/>
          <w:spacing w:val="0"/>
          <w:sz w:val="22"/>
          <w:szCs w:val="22"/>
        </w:rPr>
        <w:t xml:space="preserve">. </w:t>
      </w:r>
      <w:r w:rsidRPr="00E2114A">
        <w:rPr>
          <w:bCs/>
          <w:spacing w:val="0"/>
          <w:sz w:val="22"/>
          <w:szCs w:val="22"/>
        </w:rPr>
        <w:t>La posición neta ponderada corresponde al producto de:</w:t>
      </w:r>
    </w:p>
    <w:p w14:paraId="0458EEEC" w14:textId="2DFDFAED" w:rsidR="00BE7A5E" w:rsidRPr="00E2114A" w:rsidRDefault="00BE7A5E" w:rsidP="00337AB5">
      <w:pPr>
        <w:pStyle w:val="Textoindependiente"/>
        <w:rPr>
          <w:bCs/>
          <w:spacing w:val="0"/>
          <w:sz w:val="22"/>
          <w:szCs w:val="22"/>
        </w:rPr>
      </w:pPr>
    </w:p>
    <w:p w14:paraId="62D282A3" w14:textId="77777777" w:rsidR="00BE7A5E" w:rsidRDefault="00BE7A5E" w:rsidP="00027AE3">
      <w:pPr>
        <w:pStyle w:val="Textoindependiente"/>
        <w:numPr>
          <w:ilvl w:val="0"/>
          <w:numId w:val="43"/>
        </w:numPr>
        <w:pBdr>
          <w:left w:val="single" w:sz="4" w:space="4" w:color="auto"/>
        </w:pBdr>
        <w:ind w:hanging="436"/>
        <w:rPr>
          <w:b/>
          <w:spacing w:val="0"/>
          <w:sz w:val="22"/>
          <w:szCs w:val="22"/>
        </w:rPr>
      </w:pPr>
      <w:r w:rsidRPr="00E2114A">
        <w:rPr>
          <w:bCs/>
          <w:spacing w:val="0"/>
          <w:sz w:val="22"/>
          <w:szCs w:val="22"/>
        </w:rPr>
        <w:t>La posición neta de cada</w:t>
      </w:r>
      <w:r>
        <w:rPr>
          <w:b/>
          <w:spacing w:val="0"/>
          <w:sz w:val="22"/>
          <w:szCs w:val="22"/>
        </w:rPr>
        <w:t xml:space="preserve"> </w:t>
      </w:r>
      <w:r w:rsidR="00AD2941">
        <w:rPr>
          <w:b/>
          <w:spacing w:val="0"/>
          <w:sz w:val="22"/>
          <w:szCs w:val="22"/>
        </w:rPr>
        <w:t>derivado de crédito</w:t>
      </w:r>
      <w:r>
        <w:rPr>
          <w:b/>
          <w:spacing w:val="0"/>
          <w:sz w:val="22"/>
          <w:szCs w:val="22"/>
        </w:rPr>
        <w:t>.</w:t>
      </w:r>
    </w:p>
    <w:p w14:paraId="40EA9C2E" w14:textId="43E108B9" w:rsidR="00BE7A5E" w:rsidRPr="001167C9" w:rsidRDefault="00BE7A5E" w:rsidP="00027AE3">
      <w:pPr>
        <w:pStyle w:val="Textoindependiente"/>
        <w:numPr>
          <w:ilvl w:val="0"/>
          <w:numId w:val="43"/>
        </w:numPr>
        <w:pBdr>
          <w:left w:val="single" w:sz="4" w:space="4" w:color="auto"/>
        </w:pBdr>
        <w:ind w:hanging="436"/>
        <w:rPr>
          <w:spacing w:val="0"/>
          <w:sz w:val="22"/>
          <w:szCs w:val="22"/>
        </w:rPr>
      </w:pPr>
      <w:r w:rsidRPr="00E2114A">
        <w:rPr>
          <w:bCs/>
          <w:spacing w:val="0"/>
          <w:sz w:val="22"/>
          <w:szCs w:val="22"/>
        </w:rPr>
        <w:t>El factor de sensibilidad al riesgo general de los</w:t>
      </w:r>
      <w:r w:rsidRPr="00C03461">
        <w:rPr>
          <w:b/>
          <w:spacing w:val="0"/>
          <w:sz w:val="22"/>
          <w:szCs w:val="22"/>
        </w:rPr>
        <w:t xml:space="preserve"> </w:t>
      </w:r>
      <w:r w:rsidR="00AD2941">
        <w:rPr>
          <w:b/>
          <w:spacing w:val="0"/>
          <w:sz w:val="22"/>
          <w:szCs w:val="22"/>
        </w:rPr>
        <w:t>derivados de crédito</w:t>
      </w:r>
      <w:r>
        <w:rPr>
          <w:b/>
          <w:spacing w:val="0"/>
          <w:sz w:val="22"/>
          <w:szCs w:val="22"/>
        </w:rPr>
        <w:t xml:space="preserve"> </w:t>
      </w:r>
      <w:r w:rsidRPr="00E2114A">
        <w:rPr>
          <w:bCs/>
          <w:spacing w:val="0"/>
          <w:sz w:val="22"/>
          <w:szCs w:val="22"/>
        </w:rPr>
        <w:t>publicado por la SFC.</w:t>
      </w:r>
    </w:p>
    <w:p w14:paraId="291E5230" w14:textId="2480AA49" w:rsidR="001167C9" w:rsidRPr="001167C9" w:rsidRDefault="001167C9" w:rsidP="00691756">
      <w:pPr>
        <w:pStyle w:val="Textoindependiente"/>
        <w:ind w:left="720"/>
        <w:rPr>
          <w:spacing w:val="0"/>
          <w:sz w:val="22"/>
          <w:szCs w:val="22"/>
        </w:rPr>
      </w:pPr>
    </w:p>
    <w:p w14:paraId="3D9CCFFA" w14:textId="4D41C13D" w:rsidR="001167C9" w:rsidRPr="00691756" w:rsidRDefault="001167C9" w:rsidP="00691756">
      <w:pPr>
        <w:pStyle w:val="Textoindependiente"/>
        <w:pBdr>
          <w:left w:val="single" w:sz="4" w:space="4" w:color="auto"/>
        </w:pBdr>
        <w:rPr>
          <w:b/>
          <w:bCs/>
          <w:spacing w:val="0"/>
          <w:sz w:val="22"/>
          <w:szCs w:val="22"/>
        </w:rPr>
      </w:pPr>
      <w:r w:rsidRPr="00691756">
        <w:rPr>
          <w:b/>
          <w:bCs/>
          <w:spacing w:val="0"/>
          <w:sz w:val="22"/>
          <w:szCs w:val="22"/>
        </w:rPr>
        <w:t xml:space="preserve">Cuando se trate de derivados de crédito que, de acuerdo con su valoración, no puedan descomponerse y se asemejen en su comportamiento y estructura a una opción, el riesgo de mercado deberá calcularse de acuerdo con las reglas contenidas en el </w:t>
      </w:r>
      <w:proofErr w:type="spellStart"/>
      <w:r w:rsidR="00D00393">
        <w:rPr>
          <w:b/>
          <w:bCs/>
          <w:spacing w:val="0"/>
          <w:sz w:val="22"/>
          <w:szCs w:val="22"/>
        </w:rPr>
        <w:t>sub</w:t>
      </w:r>
      <w:r w:rsidRPr="00691756">
        <w:rPr>
          <w:b/>
          <w:bCs/>
          <w:spacing w:val="0"/>
          <w:sz w:val="22"/>
          <w:szCs w:val="22"/>
        </w:rPr>
        <w:t>numeral</w:t>
      </w:r>
      <w:proofErr w:type="spellEnd"/>
      <w:r w:rsidRPr="00691756">
        <w:rPr>
          <w:b/>
          <w:bCs/>
          <w:spacing w:val="0"/>
          <w:sz w:val="22"/>
          <w:szCs w:val="22"/>
        </w:rPr>
        <w:t xml:space="preserve"> 2.1.6 del presente Anexo.</w:t>
      </w:r>
    </w:p>
    <w:p w14:paraId="037658F2" w14:textId="77777777" w:rsidR="00BE7A5E" w:rsidRPr="007276F1" w:rsidRDefault="00BE7A5E" w:rsidP="00BE7A5E">
      <w:pPr>
        <w:pStyle w:val="Textoindependiente"/>
        <w:rPr>
          <w:b/>
          <w:bCs/>
          <w:spacing w:val="0"/>
          <w:sz w:val="22"/>
          <w:szCs w:val="22"/>
        </w:rPr>
      </w:pPr>
    </w:p>
    <w:p w14:paraId="6E3EF349" w14:textId="77777777" w:rsidR="00BE7A5E" w:rsidRDefault="00BE7A5E" w:rsidP="00B74094">
      <w:pPr>
        <w:pStyle w:val="Textoindependiente"/>
        <w:rPr>
          <w:b/>
          <w:bCs/>
          <w:spacing w:val="0"/>
          <w:sz w:val="22"/>
          <w:szCs w:val="22"/>
        </w:rPr>
      </w:pPr>
      <w:r>
        <w:rPr>
          <w:b/>
          <w:bCs/>
          <w:spacing w:val="0"/>
          <w:sz w:val="22"/>
          <w:szCs w:val="22"/>
        </w:rPr>
        <w:t xml:space="preserve">2.1.8. </w:t>
      </w:r>
      <w:r w:rsidRPr="00F765E3">
        <w:rPr>
          <w:b/>
          <w:bCs/>
          <w:spacing w:val="0"/>
          <w:sz w:val="22"/>
          <w:szCs w:val="22"/>
        </w:rPr>
        <w:t>Cálculo exposición total a los riesgos de mercado con el modelo estándar.</w:t>
      </w:r>
    </w:p>
    <w:p w14:paraId="00081A47" w14:textId="77777777" w:rsidR="00BE7A5E" w:rsidRPr="007276F1" w:rsidRDefault="00BE7A5E" w:rsidP="00B74094">
      <w:pPr>
        <w:pStyle w:val="Textoindependiente"/>
        <w:rPr>
          <w:b/>
          <w:bCs/>
          <w:spacing w:val="0"/>
          <w:sz w:val="22"/>
          <w:szCs w:val="22"/>
        </w:rPr>
      </w:pPr>
    </w:p>
    <w:p w14:paraId="51E4D8DA" w14:textId="77777777" w:rsidR="00BE7A5E" w:rsidRPr="00F765E3" w:rsidRDefault="00BE7A5E" w:rsidP="00B74094">
      <w:pPr>
        <w:pStyle w:val="Textoindependiente"/>
        <w:rPr>
          <w:spacing w:val="0"/>
          <w:sz w:val="22"/>
          <w:szCs w:val="22"/>
        </w:rPr>
      </w:pPr>
      <w:r w:rsidRPr="007276F1">
        <w:rPr>
          <w:spacing w:val="0"/>
          <w:sz w:val="22"/>
          <w:szCs w:val="22"/>
        </w:rPr>
        <w:t xml:space="preserve">Con el fin de calcular la exposición total a los riesgos de mercado, las entidades a que hace referencia el presente numeral deben sumar las exposiciones obtenidas para cada uno de los módulos de la metodología estandarizada, de acuerdo a lo descrito en los </w:t>
      </w:r>
      <w:proofErr w:type="spellStart"/>
      <w:r w:rsidRPr="007276F1">
        <w:rPr>
          <w:spacing w:val="0"/>
          <w:sz w:val="22"/>
          <w:szCs w:val="22"/>
        </w:rPr>
        <w:t>subnum</w:t>
      </w:r>
      <w:r w:rsidRPr="00F765E3">
        <w:rPr>
          <w:spacing w:val="0"/>
          <w:sz w:val="22"/>
          <w:szCs w:val="22"/>
        </w:rPr>
        <w:t>erales</w:t>
      </w:r>
      <w:proofErr w:type="spellEnd"/>
      <w:r w:rsidRPr="00F765E3">
        <w:rPr>
          <w:spacing w:val="0"/>
          <w:sz w:val="22"/>
          <w:szCs w:val="22"/>
        </w:rPr>
        <w:t xml:space="preserve"> 2</w:t>
      </w:r>
      <w:r>
        <w:rPr>
          <w:spacing w:val="0"/>
          <w:sz w:val="22"/>
          <w:szCs w:val="22"/>
        </w:rPr>
        <w:t>.1.2</w:t>
      </w:r>
      <w:r w:rsidRPr="00F765E3">
        <w:rPr>
          <w:spacing w:val="0"/>
          <w:sz w:val="22"/>
          <w:szCs w:val="22"/>
        </w:rPr>
        <w:t xml:space="preserve"> a </w:t>
      </w:r>
      <w:r w:rsidRPr="00B74094">
        <w:rPr>
          <w:spacing w:val="0"/>
          <w:sz w:val="22"/>
          <w:szCs w:val="22"/>
        </w:rPr>
        <w:t>2.1.5. y 2.1.7.</w:t>
      </w:r>
    </w:p>
    <w:p w14:paraId="536012D7" w14:textId="77777777" w:rsidR="00BE7A5E" w:rsidRDefault="00BE7A5E" w:rsidP="00BE7A5E">
      <w:pPr>
        <w:pStyle w:val="Textoindependiente"/>
        <w:rPr>
          <w:b/>
          <w:sz w:val="22"/>
          <w:szCs w:val="22"/>
        </w:rPr>
      </w:pPr>
    </w:p>
    <w:p w14:paraId="133CDE36" w14:textId="77777777" w:rsidR="00EF52E9" w:rsidRDefault="00BE7A5E" w:rsidP="00F302A6">
      <w:pPr>
        <w:pStyle w:val="Textoindependiente"/>
        <w:rPr>
          <w:spacing w:val="0"/>
          <w:sz w:val="22"/>
          <w:szCs w:val="22"/>
        </w:rPr>
        <w:sectPr w:rsidR="00EF52E9" w:rsidSect="0081767E">
          <w:headerReference w:type="first" r:id="rId20"/>
          <w:pgSz w:w="12242" w:h="18711" w:code="166"/>
          <w:pgMar w:top="1701" w:right="1701" w:bottom="1985" w:left="1701" w:header="284" w:footer="709" w:gutter="0"/>
          <w:pgNumType w:start="16"/>
          <w:cols w:space="720"/>
          <w:titlePg/>
          <w:docGrid w:linePitch="381"/>
        </w:sectPr>
      </w:pPr>
      <w:r w:rsidRPr="00F765E3">
        <w:rPr>
          <w:spacing w:val="0"/>
          <w:sz w:val="22"/>
          <w:szCs w:val="22"/>
        </w:rPr>
        <w:t>El mon</w:t>
      </w:r>
      <w:r w:rsidRPr="007276F1">
        <w:rPr>
          <w:spacing w:val="0"/>
          <w:sz w:val="22"/>
          <w:szCs w:val="22"/>
        </w:rPr>
        <w:t xml:space="preserve">to obtenido siguiendo este procedimiento, corresponde a los riesgos de mercado aplicables al cálculo de la </w:t>
      </w:r>
      <w:r w:rsidRPr="00AD3487">
        <w:rPr>
          <w:spacing w:val="0"/>
          <w:sz w:val="22"/>
          <w:szCs w:val="22"/>
        </w:rPr>
        <w:t xml:space="preserve">relación de solvencia de los establecimientos de crédito de acuerdo a lo estipulado en el </w:t>
      </w:r>
      <w:r w:rsidRPr="00171EE4">
        <w:rPr>
          <w:spacing w:val="0"/>
          <w:sz w:val="22"/>
          <w:szCs w:val="22"/>
        </w:rPr>
        <w:t xml:space="preserve">Artículo </w:t>
      </w:r>
      <w:r w:rsidRPr="00514074">
        <w:rPr>
          <w:spacing w:val="0"/>
          <w:sz w:val="22"/>
          <w:szCs w:val="22"/>
        </w:rPr>
        <w:t>2.1.1.1.2 del Decreto 2555 de 2010 o</w:t>
      </w:r>
      <w:r w:rsidRPr="00171EE4">
        <w:rPr>
          <w:spacing w:val="0"/>
          <w:sz w:val="22"/>
          <w:szCs w:val="22"/>
        </w:rPr>
        <w:t xml:space="preserve"> demás</w:t>
      </w:r>
    </w:p>
    <w:p w14:paraId="27BF9BF2" w14:textId="77777777" w:rsidR="00922FD1" w:rsidRPr="00B74094" w:rsidRDefault="00BE7A5E" w:rsidP="00F302A6">
      <w:pPr>
        <w:pStyle w:val="Textoindependiente"/>
        <w:rPr>
          <w:spacing w:val="0"/>
          <w:sz w:val="22"/>
          <w:szCs w:val="22"/>
        </w:rPr>
      </w:pPr>
      <w:r w:rsidRPr="00171EE4">
        <w:rPr>
          <w:spacing w:val="0"/>
          <w:sz w:val="22"/>
          <w:szCs w:val="22"/>
        </w:rPr>
        <w:lastRenderedPageBreak/>
        <w:t xml:space="preserve"> normas que lo sustituyan, modifiquen o subroguen. De forma análoga, el valor obtenido computa en la relación de solvencia de las sociedades comisionistas de bolsa de valores de acuerdo con lo estipulado en el artículo</w:t>
      </w:r>
      <w:r w:rsidRPr="00514074">
        <w:rPr>
          <w:spacing w:val="0"/>
          <w:sz w:val="22"/>
          <w:szCs w:val="22"/>
        </w:rPr>
        <w:t xml:space="preserve"> 2.9.1.1.2</w:t>
      </w:r>
      <w:r w:rsidRPr="00171EE4">
        <w:rPr>
          <w:spacing w:val="0"/>
          <w:sz w:val="22"/>
          <w:szCs w:val="22"/>
        </w:rPr>
        <w:t xml:space="preserve"> </w:t>
      </w:r>
      <w:r w:rsidRPr="00514074">
        <w:rPr>
          <w:spacing w:val="0"/>
          <w:sz w:val="22"/>
          <w:szCs w:val="22"/>
        </w:rPr>
        <w:t>del Decreto 2555 de 2010</w:t>
      </w:r>
      <w:r w:rsidRPr="00171EE4">
        <w:rPr>
          <w:spacing w:val="0"/>
          <w:sz w:val="22"/>
          <w:szCs w:val="22"/>
        </w:rPr>
        <w:t xml:space="preserve"> o demás normas que lo sustituyan, modifiquen o subroguen. </w:t>
      </w:r>
    </w:p>
    <w:sectPr w:rsidR="00922FD1" w:rsidRPr="00B74094" w:rsidSect="0081767E">
      <w:headerReference w:type="first" r:id="rId21"/>
      <w:pgSz w:w="12242" w:h="18711" w:code="166"/>
      <w:pgMar w:top="1701" w:right="1701" w:bottom="1985" w:left="1701" w:header="284" w:footer="709" w:gutter="0"/>
      <w:pgNumType w:start="16"/>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59453" w14:textId="77777777" w:rsidR="008B172D" w:rsidRDefault="008B172D">
      <w:r>
        <w:separator/>
      </w:r>
    </w:p>
  </w:endnote>
  <w:endnote w:type="continuationSeparator" w:id="0">
    <w:p w14:paraId="02A0F11F" w14:textId="77777777" w:rsidR="008B172D" w:rsidRDefault="008B1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CD7C3" w14:textId="376753E3" w:rsidR="0081767E" w:rsidRDefault="0081767E" w:rsidP="0081767E">
    <w:pPr>
      <w:pStyle w:val="Piedepgina"/>
    </w:pPr>
    <w:r w:rsidRPr="00E24251">
      <w:rPr>
        <w:rStyle w:val="Nmerodepgina"/>
        <w:rFonts w:cs="Arial"/>
        <w:b/>
        <w:bCs/>
        <w:spacing w:val="0"/>
        <w:sz w:val="20"/>
        <w:szCs w:val="20"/>
        <w:lang w:val="pt-BR"/>
      </w:rPr>
      <w:t>Circular Externa</w:t>
    </w:r>
    <w:r>
      <w:rPr>
        <w:rStyle w:val="Nmerodepgina"/>
        <w:rFonts w:cs="Arial"/>
        <w:b/>
        <w:bCs/>
        <w:spacing w:val="0"/>
        <w:sz w:val="20"/>
        <w:szCs w:val="20"/>
        <w:lang w:val="pt-BR"/>
      </w:rPr>
      <w:t xml:space="preserve"> </w:t>
    </w:r>
    <w:proofErr w:type="spellStart"/>
    <w:r>
      <w:rPr>
        <w:rStyle w:val="Nmerodepgina"/>
        <w:rFonts w:cs="Arial"/>
        <w:b/>
        <w:bCs/>
        <w:spacing w:val="0"/>
        <w:sz w:val="20"/>
        <w:szCs w:val="20"/>
        <w:lang w:val="pt-BR"/>
      </w:rPr>
      <w:t>xxx</w:t>
    </w:r>
    <w:proofErr w:type="spellEnd"/>
    <w:r>
      <w:rPr>
        <w:rStyle w:val="Nmerodepgina"/>
        <w:rFonts w:cs="Arial"/>
        <w:b/>
        <w:bCs/>
        <w:spacing w:val="0"/>
        <w:sz w:val="20"/>
        <w:szCs w:val="20"/>
        <w:lang w:val="pt-BR"/>
      </w:rPr>
      <w:t xml:space="preserve"> </w:t>
    </w:r>
    <w:r w:rsidRPr="00E24251">
      <w:rPr>
        <w:rStyle w:val="Nmerodepgina"/>
        <w:rFonts w:cs="Arial"/>
        <w:b/>
        <w:bCs/>
        <w:spacing w:val="0"/>
        <w:sz w:val="20"/>
        <w:szCs w:val="20"/>
        <w:lang w:val="pt-BR"/>
      </w:rPr>
      <w:t>de 20</w:t>
    </w:r>
    <w:r>
      <w:rPr>
        <w:rStyle w:val="Nmerodepgina"/>
        <w:rFonts w:cs="Arial"/>
        <w:b/>
        <w:bCs/>
        <w:spacing w:val="0"/>
        <w:sz w:val="20"/>
        <w:szCs w:val="20"/>
        <w:lang w:val="pt-BR"/>
      </w:rPr>
      <w:t>2</w:t>
    </w:r>
    <w:r w:rsidR="00374416">
      <w:rPr>
        <w:rStyle w:val="Nmerodepgina"/>
        <w:rFonts w:cs="Arial"/>
        <w:b/>
        <w:bCs/>
        <w:spacing w:val="0"/>
        <w:sz w:val="20"/>
        <w:szCs w:val="20"/>
        <w:lang w:val="pt-BR"/>
      </w:rPr>
      <w:t>3</w:t>
    </w:r>
    <w:r>
      <w:rPr>
        <w:rStyle w:val="Nmerodepgina"/>
        <w:rFonts w:cs="Arial"/>
        <w:b/>
        <w:bCs/>
        <w:spacing w:val="0"/>
        <w:sz w:val="20"/>
        <w:szCs w:val="20"/>
        <w:lang w:val="pt-BR"/>
      </w:rPr>
      <w:t xml:space="preserve">                                                                           </w:t>
    </w:r>
    <w:r w:rsidR="00E30E3A">
      <w:rPr>
        <w:rStyle w:val="Nmerodepgina"/>
        <w:rFonts w:cs="Arial"/>
        <w:b/>
        <w:bCs/>
        <w:spacing w:val="0"/>
        <w:sz w:val="20"/>
        <w:szCs w:val="20"/>
        <w:lang w:val="pt-BR"/>
      </w:rPr>
      <w:t xml:space="preserve">         </w:t>
    </w:r>
    <w:r>
      <w:rPr>
        <w:rStyle w:val="Nmerodepgina"/>
        <w:rFonts w:cs="Arial"/>
        <w:b/>
        <w:bCs/>
        <w:spacing w:val="0"/>
        <w:sz w:val="20"/>
        <w:szCs w:val="20"/>
        <w:lang w:val="pt-BR"/>
      </w:rPr>
      <w:t xml:space="preserve"> </w:t>
    </w:r>
    <w:proofErr w:type="spellStart"/>
    <w:r w:rsidR="00E30E3A">
      <w:rPr>
        <w:rStyle w:val="Nmerodepgina"/>
        <w:rFonts w:cs="Arial"/>
        <w:b/>
        <w:bCs/>
        <w:spacing w:val="0"/>
        <w:sz w:val="20"/>
        <w:szCs w:val="20"/>
        <w:lang w:val="pt-BR"/>
      </w:rPr>
      <w:t>Enero</w:t>
    </w:r>
    <w:proofErr w:type="spellEnd"/>
    <w:r>
      <w:rPr>
        <w:rStyle w:val="Nmerodepgina"/>
        <w:rFonts w:cs="Arial"/>
        <w:b/>
        <w:bCs/>
        <w:spacing w:val="0"/>
        <w:sz w:val="20"/>
        <w:szCs w:val="20"/>
        <w:lang w:val="pt-BR"/>
      </w:rPr>
      <w:t xml:space="preserve"> de 202</w:t>
    </w:r>
    <w:r w:rsidR="00E30E3A">
      <w:rPr>
        <w:rStyle w:val="Nmerodepgina"/>
        <w:rFonts w:cs="Arial"/>
        <w:b/>
        <w:bCs/>
        <w:spacing w:val="0"/>
        <w:sz w:val="20"/>
        <w:szCs w:val="20"/>
        <w:lang w:val="pt-BR"/>
      </w:rPr>
      <w:t>3</w:t>
    </w:r>
  </w:p>
  <w:p w14:paraId="16CE3566" w14:textId="77777777" w:rsidR="00B74094" w:rsidRDefault="00B7409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67B3B" w14:textId="77777777" w:rsidR="00B74094" w:rsidRDefault="00B74094" w:rsidP="00B74094">
    <w:pPr>
      <w:pStyle w:val="Piedepgina"/>
    </w:pPr>
    <w:r>
      <w:rPr>
        <w:rStyle w:val="Nmerodepgina"/>
        <w:rFonts w:cs="Arial"/>
        <w:b/>
        <w:bCs/>
        <w:spacing w:val="0"/>
        <w:sz w:val="20"/>
        <w:szCs w:val="20"/>
        <w:lang w:val="pt-BR"/>
      </w:rPr>
      <w:t>C</w:t>
    </w:r>
    <w:r w:rsidRPr="00E24251">
      <w:rPr>
        <w:rStyle w:val="Nmerodepgina"/>
        <w:rFonts w:cs="Arial"/>
        <w:b/>
        <w:bCs/>
        <w:spacing w:val="0"/>
        <w:sz w:val="20"/>
        <w:szCs w:val="20"/>
        <w:lang w:val="pt-BR"/>
      </w:rPr>
      <w:t>ircular Externa</w:t>
    </w:r>
    <w:r>
      <w:rPr>
        <w:rStyle w:val="Nmerodepgina"/>
        <w:rFonts w:cs="Arial"/>
        <w:b/>
        <w:bCs/>
        <w:spacing w:val="0"/>
        <w:sz w:val="20"/>
        <w:szCs w:val="20"/>
        <w:lang w:val="pt-BR"/>
      </w:rPr>
      <w:t xml:space="preserve"> 039 de 2012                                                                            </w:t>
    </w:r>
    <w:proofErr w:type="spellStart"/>
    <w:r>
      <w:rPr>
        <w:rStyle w:val="Nmerodepgina"/>
        <w:rFonts w:cs="Arial"/>
        <w:b/>
        <w:bCs/>
        <w:spacing w:val="0"/>
        <w:sz w:val="20"/>
        <w:szCs w:val="20"/>
        <w:lang w:val="pt-BR"/>
      </w:rPr>
      <w:t>Septiembre</w:t>
    </w:r>
    <w:proofErr w:type="spellEnd"/>
    <w:r>
      <w:rPr>
        <w:rStyle w:val="Nmerodepgina"/>
        <w:rFonts w:cs="Arial"/>
        <w:b/>
        <w:bCs/>
        <w:spacing w:val="0"/>
        <w:sz w:val="20"/>
        <w:szCs w:val="20"/>
        <w:lang w:val="pt-BR"/>
      </w:rPr>
      <w:t xml:space="preserve"> de 2012</w:t>
    </w:r>
  </w:p>
  <w:p w14:paraId="7E0254E1" w14:textId="77777777" w:rsidR="00B74094" w:rsidRDefault="00B7409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B6F7D" w14:textId="01C29D1F" w:rsidR="0074071A" w:rsidRDefault="0074071A" w:rsidP="0074071A">
    <w:pPr>
      <w:pStyle w:val="Piedepgina"/>
    </w:pPr>
    <w:r w:rsidRPr="00E24251">
      <w:rPr>
        <w:rStyle w:val="Nmerodepgina"/>
        <w:rFonts w:cs="Arial"/>
        <w:b/>
        <w:bCs/>
        <w:spacing w:val="0"/>
        <w:sz w:val="20"/>
        <w:szCs w:val="20"/>
        <w:lang w:val="pt-BR"/>
      </w:rPr>
      <w:t>Circular Externa</w:t>
    </w:r>
    <w:r>
      <w:rPr>
        <w:rStyle w:val="Nmerodepgina"/>
        <w:rFonts w:cs="Arial"/>
        <w:b/>
        <w:bCs/>
        <w:spacing w:val="0"/>
        <w:sz w:val="20"/>
        <w:szCs w:val="20"/>
        <w:lang w:val="pt-BR"/>
      </w:rPr>
      <w:t xml:space="preserve"> </w:t>
    </w:r>
    <w:proofErr w:type="spellStart"/>
    <w:r w:rsidR="0081767E">
      <w:rPr>
        <w:rStyle w:val="Nmerodepgina"/>
        <w:rFonts w:cs="Arial"/>
        <w:b/>
        <w:bCs/>
        <w:spacing w:val="0"/>
        <w:sz w:val="20"/>
        <w:szCs w:val="20"/>
        <w:lang w:val="pt-BR"/>
      </w:rPr>
      <w:t>xxx</w:t>
    </w:r>
    <w:proofErr w:type="spellEnd"/>
    <w:r>
      <w:rPr>
        <w:rStyle w:val="Nmerodepgina"/>
        <w:rFonts w:cs="Arial"/>
        <w:b/>
        <w:bCs/>
        <w:spacing w:val="0"/>
        <w:sz w:val="20"/>
        <w:szCs w:val="20"/>
        <w:lang w:val="pt-BR"/>
      </w:rPr>
      <w:t xml:space="preserve"> </w:t>
    </w:r>
    <w:r w:rsidRPr="00E24251">
      <w:rPr>
        <w:rStyle w:val="Nmerodepgina"/>
        <w:rFonts w:cs="Arial"/>
        <w:b/>
        <w:bCs/>
        <w:spacing w:val="0"/>
        <w:sz w:val="20"/>
        <w:szCs w:val="20"/>
        <w:lang w:val="pt-BR"/>
      </w:rPr>
      <w:t>de 20</w:t>
    </w:r>
    <w:r w:rsidR="0081767E">
      <w:rPr>
        <w:rStyle w:val="Nmerodepgina"/>
        <w:rFonts w:cs="Arial"/>
        <w:b/>
        <w:bCs/>
        <w:spacing w:val="0"/>
        <w:sz w:val="20"/>
        <w:szCs w:val="20"/>
        <w:lang w:val="pt-BR"/>
      </w:rPr>
      <w:t>2</w:t>
    </w:r>
    <w:r w:rsidR="00374416">
      <w:rPr>
        <w:rStyle w:val="Nmerodepgina"/>
        <w:rFonts w:cs="Arial"/>
        <w:b/>
        <w:bCs/>
        <w:spacing w:val="0"/>
        <w:sz w:val="20"/>
        <w:szCs w:val="20"/>
        <w:lang w:val="pt-BR"/>
      </w:rPr>
      <w:t>3</w:t>
    </w:r>
    <w:r>
      <w:rPr>
        <w:rStyle w:val="Nmerodepgina"/>
        <w:rFonts w:cs="Arial"/>
        <w:b/>
        <w:bCs/>
        <w:spacing w:val="0"/>
        <w:sz w:val="20"/>
        <w:szCs w:val="20"/>
        <w:lang w:val="pt-BR"/>
      </w:rPr>
      <w:t xml:space="preserve">                                                                           </w:t>
    </w:r>
    <w:r w:rsidR="0081767E">
      <w:rPr>
        <w:rStyle w:val="Nmerodepgina"/>
        <w:rFonts w:cs="Arial"/>
        <w:b/>
        <w:bCs/>
        <w:spacing w:val="0"/>
        <w:sz w:val="20"/>
        <w:szCs w:val="20"/>
        <w:lang w:val="pt-BR"/>
      </w:rPr>
      <w:t xml:space="preserve"> </w:t>
    </w:r>
    <w:r w:rsidR="00E30E3A">
      <w:rPr>
        <w:rStyle w:val="Nmerodepgina"/>
        <w:rFonts w:cs="Arial"/>
        <w:b/>
        <w:bCs/>
        <w:spacing w:val="0"/>
        <w:sz w:val="20"/>
        <w:szCs w:val="20"/>
        <w:lang w:val="pt-BR"/>
      </w:rPr>
      <w:t xml:space="preserve">         </w:t>
    </w:r>
    <w:proofErr w:type="spellStart"/>
    <w:r w:rsidR="00E30E3A">
      <w:rPr>
        <w:rStyle w:val="Nmerodepgina"/>
        <w:rFonts w:cs="Arial"/>
        <w:b/>
        <w:bCs/>
        <w:spacing w:val="0"/>
        <w:sz w:val="20"/>
        <w:szCs w:val="20"/>
        <w:lang w:val="pt-BR"/>
      </w:rPr>
      <w:t>Enero</w:t>
    </w:r>
    <w:proofErr w:type="spellEnd"/>
    <w:r>
      <w:rPr>
        <w:rStyle w:val="Nmerodepgina"/>
        <w:rFonts w:cs="Arial"/>
        <w:b/>
        <w:bCs/>
        <w:spacing w:val="0"/>
        <w:sz w:val="20"/>
        <w:szCs w:val="20"/>
        <w:lang w:val="pt-BR"/>
      </w:rPr>
      <w:t xml:space="preserve"> de 20</w:t>
    </w:r>
    <w:r w:rsidR="0081767E">
      <w:rPr>
        <w:rStyle w:val="Nmerodepgina"/>
        <w:rFonts w:cs="Arial"/>
        <w:b/>
        <w:bCs/>
        <w:spacing w:val="0"/>
        <w:sz w:val="20"/>
        <w:szCs w:val="20"/>
        <w:lang w:val="pt-BR"/>
      </w:rPr>
      <w:t>2</w:t>
    </w:r>
    <w:r w:rsidR="00E30E3A">
      <w:rPr>
        <w:rStyle w:val="Nmerodepgina"/>
        <w:rFonts w:cs="Arial"/>
        <w:b/>
        <w:bCs/>
        <w:spacing w:val="0"/>
        <w:sz w:val="20"/>
        <w:szCs w:val="20"/>
        <w:lang w:val="pt-BR"/>
      </w:rPr>
      <w:t>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E9D0A" w14:textId="221ED9AE" w:rsidR="001E5E02" w:rsidRPr="0081767E" w:rsidRDefault="0081767E" w:rsidP="0081767E">
    <w:pPr>
      <w:pStyle w:val="Piedepgina"/>
      <w:rPr>
        <w:rStyle w:val="Nmerodepgina"/>
        <w:rFonts w:cs="Arial"/>
      </w:rPr>
    </w:pPr>
    <w:r w:rsidRPr="00E24251">
      <w:rPr>
        <w:rStyle w:val="Nmerodepgina"/>
        <w:rFonts w:cs="Arial"/>
        <w:b/>
        <w:bCs/>
        <w:spacing w:val="0"/>
        <w:sz w:val="20"/>
        <w:szCs w:val="20"/>
        <w:lang w:val="pt-BR"/>
      </w:rPr>
      <w:t>Circul</w:t>
    </w:r>
    <w:r>
      <w:rPr>
        <w:rStyle w:val="Nmerodepgina"/>
        <w:rFonts w:cs="Arial"/>
        <w:b/>
        <w:bCs/>
        <w:spacing w:val="0"/>
        <w:sz w:val="20"/>
        <w:szCs w:val="20"/>
        <w:lang w:val="pt-BR"/>
      </w:rPr>
      <w:t>a</w:t>
    </w:r>
    <w:r w:rsidRPr="00E24251">
      <w:rPr>
        <w:rStyle w:val="Nmerodepgina"/>
        <w:rFonts w:cs="Arial"/>
        <w:b/>
        <w:bCs/>
        <w:spacing w:val="0"/>
        <w:sz w:val="20"/>
        <w:szCs w:val="20"/>
        <w:lang w:val="pt-BR"/>
      </w:rPr>
      <w:t>r Externa</w:t>
    </w:r>
    <w:r>
      <w:rPr>
        <w:rStyle w:val="Nmerodepgina"/>
        <w:rFonts w:cs="Arial"/>
        <w:b/>
        <w:bCs/>
        <w:spacing w:val="0"/>
        <w:sz w:val="20"/>
        <w:szCs w:val="20"/>
        <w:lang w:val="pt-BR"/>
      </w:rPr>
      <w:t xml:space="preserve"> </w:t>
    </w:r>
    <w:proofErr w:type="spellStart"/>
    <w:r>
      <w:rPr>
        <w:rStyle w:val="Nmerodepgina"/>
        <w:rFonts w:cs="Arial"/>
        <w:b/>
        <w:bCs/>
        <w:spacing w:val="0"/>
        <w:sz w:val="20"/>
        <w:szCs w:val="20"/>
        <w:lang w:val="pt-BR"/>
      </w:rPr>
      <w:t>xxx</w:t>
    </w:r>
    <w:proofErr w:type="spellEnd"/>
    <w:r>
      <w:rPr>
        <w:rStyle w:val="Nmerodepgina"/>
        <w:rFonts w:cs="Arial"/>
        <w:b/>
        <w:bCs/>
        <w:spacing w:val="0"/>
        <w:sz w:val="20"/>
        <w:szCs w:val="20"/>
        <w:lang w:val="pt-BR"/>
      </w:rPr>
      <w:t xml:space="preserve"> </w:t>
    </w:r>
    <w:r w:rsidRPr="00E24251">
      <w:rPr>
        <w:rStyle w:val="Nmerodepgina"/>
        <w:rFonts w:cs="Arial"/>
        <w:b/>
        <w:bCs/>
        <w:spacing w:val="0"/>
        <w:sz w:val="20"/>
        <w:szCs w:val="20"/>
        <w:lang w:val="pt-BR"/>
      </w:rPr>
      <w:t>de 20</w:t>
    </w:r>
    <w:r>
      <w:rPr>
        <w:rStyle w:val="Nmerodepgina"/>
        <w:rFonts w:cs="Arial"/>
        <w:b/>
        <w:bCs/>
        <w:spacing w:val="0"/>
        <w:sz w:val="20"/>
        <w:szCs w:val="20"/>
        <w:lang w:val="pt-BR"/>
      </w:rPr>
      <w:t>2</w:t>
    </w:r>
    <w:r w:rsidR="00374416">
      <w:rPr>
        <w:rStyle w:val="Nmerodepgina"/>
        <w:rFonts w:cs="Arial"/>
        <w:b/>
        <w:bCs/>
        <w:spacing w:val="0"/>
        <w:sz w:val="20"/>
        <w:szCs w:val="20"/>
        <w:lang w:val="pt-BR"/>
      </w:rPr>
      <w:t>3</w:t>
    </w:r>
    <w:r>
      <w:rPr>
        <w:rStyle w:val="Nmerodepgina"/>
        <w:rFonts w:cs="Arial"/>
        <w:b/>
        <w:bCs/>
        <w:spacing w:val="0"/>
        <w:sz w:val="20"/>
        <w:szCs w:val="20"/>
        <w:lang w:val="pt-BR"/>
      </w:rPr>
      <w:t xml:space="preserve">                                                                            </w:t>
    </w:r>
    <w:r w:rsidR="00E30E3A">
      <w:rPr>
        <w:rStyle w:val="Nmerodepgina"/>
        <w:rFonts w:cs="Arial"/>
        <w:b/>
        <w:bCs/>
        <w:spacing w:val="0"/>
        <w:sz w:val="20"/>
        <w:szCs w:val="20"/>
        <w:lang w:val="pt-BR"/>
      </w:rPr>
      <w:t xml:space="preserve">         </w:t>
    </w:r>
    <w:proofErr w:type="spellStart"/>
    <w:r w:rsidR="00E30E3A">
      <w:rPr>
        <w:rStyle w:val="Nmerodepgina"/>
        <w:rFonts w:cs="Arial"/>
        <w:b/>
        <w:bCs/>
        <w:spacing w:val="0"/>
        <w:sz w:val="20"/>
        <w:szCs w:val="20"/>
        <w:lang w:val="pt-BR"/>
      </w:rPr>
      <w:t>Enero</w:t>
    </w:r>
    <w:proofErr w:type="spellEnd"/>
    <w:r>
      <w:rPr>
        <w:rStyle w:val="Nmerodepgina"/>
        <w:rFonts w:cs="Arial"/>
        <w:b/>
        <w:bCs/>
        <w:spacing w:val="0"/>
        <w:sz w:val="20"/>
        <w:szCs w:val="20"/>
        <w:lang w:val="pt-BR"/>
      </w:rPr>
      <w:t xml:space="preserve"> de 202</w:t>
    </w:r>
    <w:r w:rsidR="00E30E3A">
      <w:rPr>
        <w:rStyle w:val="Nmerodepgina"/>
        <w:rFonts w:cs="Arial"/>
        <w:b/>
        <w:bCs/>
        <w:spacing w:val="0"/>
        <w:sz w:val="20"/>
        <w:szCs w:val="20"/>
        <w:lang w:val="pt-BR"/>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73E2E" w14:textId="77777777" w:rsidR="008B172D" w:rsidRDefault="008B172D">
      <w:r>
        <w:separator/>
      </w:r>
    </w:p>
  </w:footnote>
  <w:footnote w:type="continuationSeparator" w:id="0">
    <w:p w14:paraId="76BAAC1F" w14:textId="77777777" w:rsidR="008B172D" w:rsidRDefault="008B17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DBB37" w14:textId="77777777" w:rsidR="00B74094" w:rsidRPr="00710CA4" w:rsidRDefault="00B74094" w:rsidP="00B74094">
    <w:pPr>
      <w:jc w:val="center"/>
      <w:rPr>
        <w:b/>
        <w:sz w:val="24"/>
        <w:szCs w:val="24"/>
        <w:lang w:val="es-CO"/>
      </w:rPr>
    </w:pPr>
    <w:r w:rsidRPr="00710CA4">
      <w:rPr>
        <w:b/>
        <w:sz w:val="24"/>
        <w:szCs w:val="24"/>
        <w:lang w:val="es-CO"/>
      </w:rPr>
      <w:t>SUPERINTENDENCIA FINANCIERA DE COLOMBIA</w:t>
    </w:r>
  </w:p>
  <w:p w14:paraId="4B13F7AF" w14:textId="77777777" w:rsidR="00B74094" w:rsidRDefault="00B74094" w:rsidP="00B74094">
    <w:pPr>
      <w:rPr>
        <w:lang w:val="es-CO"/>
      </w:rPr>
    </w:pPr>
  </w:p>
  <w:p w14:paraId="5811D215" w14:textId="77777777" w:rsidR="00B74094" w:rsidRPr="00710CA4" w:rsidRDefault="00B74094" w:rsidP="00B74094">
    <w:pPr>
      <w:jc w:val="both"/>
      <w:rPr>
        <w:b/>
        <w:sz w:val="20"/>
        <w:szCs w:val="20"/>
        <w:lang w:val="es-CO"/>
      </w:rPr>
    </w:pPr>
    <w:r w:rsidRPr="00710CA4">
      <w:rPr>
        <w:b/>
        <w:sz w:val="20"/>
        <w:szCs w:val="20"/>
        <w:lang w:val="es-CO"/>
      </w:rPr>
      <w:t>ANEXO I: CAPÍTULO XXI REGLAS RELATIVAS A LA ADMINISTRACIÓN DE LOS RIESGOS DE MERCADO</w:t>
    </w:r>
  </w:p>
  <w:p w14:paraId="3EB563D8" w14:textId="77777777" w:rsidR="00B74094" w:rsidRDefault="00B74094" w:rsidP="00B74094">
    <w:pPr>
      <w:pStyle w:val="Encabezado"/>
      <w:jc w:val="both"/>
      <w:rPr>
        <w:b/>
        <w:sz w:val="20"/>
        <w:szCs w:val="20"/>
        <w:lang w:val="es-CO"/>
      </w:rPr>
    </w:pPr>
  </w:p>
  <w:p w14:paraId="4FC424BE" w14:textId="77777777" w:rsidR="00B74094" w:rsidRDefault="00B74094" w:rsidP="00B74094">
    <w:pPr>
      <w:pStyle w:val="Encabezado"/>
      <w:jc w:val="both"/>
      <w:rPr>
        <w:b/>
        <w:sz w:val="20"/>
        <w:szCs w:val="20"/>
        <w:lang w:val="es-CO"/>
      </w:rPr>
    </w:pPr>
    <w:r>
      <w:rPr>
        <w:b/>
        <w:sz w:val="20"/>
        <w:szCs w:val="20"/>
        <w:lang w:val="es-CO"/>
      </w:rPr>
      <w:t>Página 3-1</w:t>
    </w:r>
  </w:p>
  <w:p w14:paraId="32C26D9B" w14:textId="77777777" w:rsidR="00B74094" w:rsidRDefault="00B7409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CB38E" w14:textId="77777777" w:rsidR="00B74094" w:rsidRPr="00710CA4" w:rsidRDefault="00B74094" w:rsidP="00B74094">
    <w:pPr>
      <w:jc w:val="both"/>
      <w:rPr>
        <w:b/>
        <w:sz w:val="20"/>
        <w:szCs w:val="20"/>
        <w:lang w:val="es-CO"/>
      </w:rPr>
    </w:pPr>
    <w:r w:rsidRPr="00710CA4">
      <w:rPr>
        <w:b/>
        <w:sz w:val="20"/>
        <w:szCs w:val="20"/>
        <w:lang w:val="es-CO"/>
      </w:rPr>
      <w:t>ANEXO I: CAPÍTULO XXI REGLAS RELATIVAS A LA ADMINISTRACIÓN DE LOS RIESGOS DE MERCADO</w:t>
    </w:r>
  </w:p>
  <w:p w14:paraId="0151182B" w14:textId="77777777" w:rsidR="00B74094" w:rsidRDefault="00B74094" w:rsidP="00B74094">
    <w:pPr>
      <w:pStyle w:val="Encabezado"/>
      <w:jc w:val="both"/>
      <w:rPr>
        <w:b/>
        <w:sz w:val="20"/>
        <w:szCs w:val="20"/>
        <w:lang w:val="es-CO"/>
      </w:rPr>
    </w:pPr>
  </w:p>
  <w:p w14:paraId="1F18EB56" w14:textId="77777777" w:rsidR="00B74094" w:rsidRDefault="00B74094" w:rsidP="00B74094">
    <w:pPr>
      <w:pStyle w:val="Encabezado"/>
      <w:jc w:val="both"/>
      <w:rPr>
        <w:b/>
        <w:sz w:val="20"/>
        <w:szCs w:val="20"/>
        <w:lang w:val="es-CO"/>
      </w:rPr>
    </w:pPr>
    <w:r>
      <w:rPr>
        <w:b/>
        <w:sz w:val="20"/>
        <w:szCs w:val="20"/>
        <w:lang w:val="es-CO"/>
      </w:rPr>
      <w:t>Página 3-1</w:t>
    </w:r>
  </w:p>
  <w:p w14:paraId="1A090130" w14:textId="77777777" w:rsidR="00B74094" w:rsidRDefault="00B7409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0F29B" w14:textId="77777777" w:rsidR="0074071A" w:rsidRPr="00CA6425" w:rsidRDefault="0074071A" w:rsidP="003C6DB4">
    <w:pPr>
      <w:pStyle w:val="Encabezado"/>
      <w:jc w:val="center"/>
      <w:rPr>
        <w:b/>
        <w:sz w:val="24"/>
        <w:szCs w:val="24"/>
      </w:rPr>
    </w:pPr>
    <w:r>
      <w:rPr>
        <w:b/>
        <w:sz w:val="24"/>
        <w:szCs w:val="24"/>
      </w:rPr>
      <w:t>SUPERINTENDENCIA FINANCIERA DE COLOMBIA</w:t>
    </w:r>
  </w:p>
  <w:p w14:paraId="53D7EDE3" w14:textId="77777777" w:rsidR="0074071A" w:rsidRDefault="0074071A" w:rsidP="00722AB1">
    <w:pPr>
      <w:pStyle w:val="Piedepgina"/>
      <w:ind w:left="855" w:hanging="855"/>
      <w:jc w:val="both"/>
      <w:rPr>
        <w:b/>
        <w:bCs/>
        <w:spacing w:val="0"/>
        <w:sz w:val="18"/>
        <w:szCs w:val="18"/>
        <w:lang w:val="es-MX"/>
      </w:rPr>
    </w:pPr>
  </w:p>
  <w:p w14:paraId="1DCE058B" w14:textId="77777777" w:rsidR="0074071A" w:rsidRDefault="0074071A" w:rsidP="00722AB1">
    <w:pPr>
      <w:pStyle w:val="Encabezado"/>
      <w:ind w:left="855" w:hanging="855"/>
      <w:jc w:val="both"/>
      <w:rPr>
        <w:rStyle w:val="Nmerodepgina"/>
        <w:b/>
        <w:bCs/>
        <w:spacing w:val="0"/>
        <w:sz w:val="18"/>
        <w:szCs w:val="18"/>
      </w:rPr>
    </w:pPr>
    <w:r>
      <w:rPr>
        <w:b/>
        <w:bCs/>
        <w:spacing w:val="0"/>
        <w:sz w:val="18"/>
        <w:szCs w:val="18"/>
        <w:lang w:val="es-MX"/>
      </w:rPr>
      <w:t>ANEXO 1:</w:t>
    </w:r>
    <w:r>
      <w:rPr>
        <w:b/>
        <w:bCs/>
        <w:spacing w:val="0"/>
        <w:sz w:val="18"/>
        <w:szCs w:val="18"/>
        <w:lang w:val="es-MX"/>
      </w:rPr>
      <w:tab/>
    </w:r>
    <w:r w:rsidRPr="00201D0E">
      <w:rPr>
        <w:b/>
        <w:bCs/>
        <w:spacing w:val="0"/>
        <w:sz w:val="18"/>
        <w:szCs w:val="18"/>
      </w:rPr>
      <w:t>CAPITULO</w:t>
    </w:r>
    <w:r>
      <w:rPr>
        <w:b/>
        <w:bCs/>
        <w:spacing w:val="0"/>
        <w:sz w:val="18"/>
        <w:szCs w:val="18"/>
      </w:rPr>
      <w:t xml:space="preserve"> XXI</w:t>
    </w:r>
    <w:r>
      <w:rPr>
        <w:rStyle w:val="Nmerodepgina"/>
        <w:b/>
        <w:bCs/>
        <w:spacing w:val="0"/>
        <w:sz w:val="18"/>
        <w:szCs w:val="18"/>
      </w:rPr>
      <w:t xml:space="preserve"> </w:t>
    </w:r>
    <w:r w:rsidRPr="007E2C90">
      <w:rPr>
        <w:rStyle w:val="Nmerodepgina"/>
        <w:b/>
        <w:bCs/>
        <w:spacing w:val="0"/>
        <w:sz w:val="18"/>
        <w:szCs w:val="18"/>
      </w:rPr>
      <w:t xml:space="preserve">REGLAS </w:t>
    </w:r>
    <w:r>
      <w:rPr>
        <w:rStyle w:val="Nmerodepgina"/>
        <w:b/>
        <w:bCs/>
        <w:spacing w:val="0"/>
        <w:sz w:val="18"/>
        <w:szCs w:val="18"/>
      </w:rPr>
      <w:t>RELATIVAS</w:t>
    </w:r>
    <w:r w:rsidRPr="007E2C90">
      <w:rPr>
        <w:rStyle w:val="Nmerodepgina"/>
        <w:b/>
        <w:bCs/>
        <w:spacing w:val="0"/>
        <w:sz w:val="18"/>
        <w:szCs w:val="18"/>
      </w:rPr>
      <w:t xml:space="preserve"> A </w:t>
    </w:r>
    <w:smartTag w:uri="urn:schemas-microsoft-com:office:smarttags" w:element="PersonName">
      <w:smartTagPr>
        <w:attr w:name="ProductID" w:val="LA ADMINISTRACIￓN DE"/>
      </w:smartTagPr>
      <w:r w:rsidRPr="007E2C90">
        <w:rPr>
          <w:rStyle w:val="Nmerodepgina"/>
          <w:b/>
          <w:bCs/>
          <w:spacing w:val="0"/>
          <w:sz w:val="18"/>
          <w:szCs w:val="18"/>
        </w:rPr>
        <w:t xml:space="preserve">LA </w:t>
      </w:r>
      <w:r>
        <w:rPr>
          <w:rStyle w:val="Nmerodepgina"/>
          <w:b/>
          <w:bCs/>
          <w:spacing w:val="0"/>
          <w:sz w:val="18"/>
          <w:szCs w:val="18"/>
        </w:rPr>
        <w:t xml:space="preserve">ADMINISTRACIÓN </w:t>
      </w:r>
      <w:r w:rsidRPr="007E2C90">
        <w:rPr>
          <w:rStyle w:val="Nmerodepgina"/>
          <w:b/>
          <w:bCs/>
          <w:spacing w:val="0"/>
          <w:sz w:val="18"/>
          <w:szCs w:val="18"/>
        </w:rPr>
        <w:t>DE</w:t>
      </w:r>
    </w:smartTag>
    <w:r w:rsidRPr="007E2C90">
      <w:rPr>
        <w:rStyle w:val="Nmerodepgina"/>
        <w:b/>
        <w:bCs/>
        <w:spacing w:val="0"/>
        <w:sz w:val="18"/>
        <w:szCs w:val="18"/>
      </w:rPr>
      <w:t xml:space="preserve"> LOS RIESGOS DE</w:t>
    </w:r>
    <w:r>
      <w:rPr>
        <w:rStyle w:val="Nmerodepgina"/>
        <w:b/>
        <w:bCs/>
        <w:spacing w:val="0"/>
        <w:sz w:val="18"/>
        <w:szCs w:val="18"/>
      </w:rPr>
      <w:t xml:space="preserve">   MERCADO</w:t>
    </w:r>
  </w:p>
  <w:p w14:paraId="03B76471" w14:textId="77777777" w:rsidR="0074071A" w:rsidRDefault="0074071A" w:rsidP="00722AB1">
    <w:pPr>
      <w:pStyle w:val="Encabezado"/>
      <w:jc w:val="both"/>
    </w:pPr>
    <w:r w:rsidRPr="007E2C90">
      <w:rPr>
        <w:rStyle w:val="Nmerodepgina"/>
        <w:rFonts w:cs="Arial"/>
        <w:b/>
        <w:bCs/>
        <w:spacing w:val="0"/>
        <w:sz w:val="18"/>
        <w:szCs w:val="18"/>
      </w:rPr>
      <w:t xml:space="preserve">Página </w:t>
    </w:r>
    <w:r w:rsidR="00B74094">
      <w:rPr>
        <w:rStyle w:val="Nmerodepgina"/>
        <w:rFonts w:cs="Arial"/>
        <w:b/>
        <w:bCs/>
        <w:spacing w:val="0"/>
        <w:sz w:val="18"/>
        <w:szCs w:val="18"/>
      </w:rPr>
      <w:t>1</w:t>
    </w:r>
  </w:p>
  <w:p w14:paraId="2D94E658" w14:textId="77777777" w:rsidR="0074071A" w:rsidRDefault="0074071A" w:rsidP="003C6DB4">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C2C35" w14:textId="77777777" w:rsidR="00F827C9" w:rsidRPr="00710CA4" w:rsidRDefault="00F827C9" w:rsidP="00F827C9">
    <w:pPr>
      <w:jc w:val="center"/>
      <w:rPr>
        <w:b/>
        <w:sz w:val="24"/>
        <w:szCs w:val="24"/>
        <w:lang w:val="es-CO"/>
      </w:rPr>
    </w:pPr>
    <w:r w:rsidRPr="00710CA4">
      <w:rPr>
        <w:b/>
        <w:sz w:val="24"/>
        <w:szCs w:val="24"/>
        <w:lang w:val="es-CO"/>
      </w:rPr>
      <w:t>SUPERINTENDENCIA FINANCIERA DE COLOMBIA</w:t>
    </w:r>
  </w:p>
  <w:p w14:paraId="35C8E032" w14:textId="77777777" w:rsidR="00F827C9" w:rsidRDefault="00F827C9" w:rsidP="00F827C9">
    <w:pPr>
      <w:rPr>
        <w:lang w:val="es-CO"/>
      </w:rPr>
    </w:pPr>
  </w:p>
  <w:p w14:paraId="764DAA37" w14:textId="77777777" w:rsidR="00F827C9" w:rsidRPr="00710CA4" w:rsidRDefault="00F827C9" w:rsidP="00F827C9">
    <w:pPr>
      <w:jc w:val="both"/>
      <w:rPr>
        <w:b/>
        <w:sz w:val="20"/>
        <w:szCs w:val="20"/>
        <w:lang w:val="es-CO"/>
      </w:rPr>
    </w:pPr>
    <w:r w:rsidRPr="00710CA4">
      <w:rPr>
        <w:b/>
        <w:sz w:val="20"/>
        <w:szCs w:val="20"/>
        <w:lang w:val="es-CO"/>
      </w:rPr>
      <w:t>ANEXO I: CAPÍTULO XXI REGLAS RELATIVAS A LA ADMINISTRACIÓN DE LOS RIESGOS DE MERCADO</w:t>
    </w:r>
  </w:p>
  <w:p w14:paraId="1C87E7D5" w14:textId="77777777" w:rsidR="00F827C9" w:rsidRDefault="00F827C9" w:rsidP="00F827C9">
    <w:pPr>
      <w:pStyle w:val="Encabezado"/>
      <w:jc w:val="both"/>
      <w:rPr>
        <w:b/>
        <w:sz w:val="20"/>
        <w:szCs w:val="20"/>
        <w:lang w:val="es-CO"/>
      </w:rPr>
    </w:pPr>
  </w:p>
  <w:p w14:paraId="24D5A6EE" w14:textId="77777777" w:rsidR="00F827C9" w:rsidRDefault="00F827C9" w:rsidP="00F827C9">
    <w:pPr>
      <w:pStyle w:val="Encabezado"/>
      <w:jc w:val="both"/>
      <w:rPr>
        <w:b/>
        <w:sz w:val="20"/>
        <w:szCs w:val="20"/>
        <w:lang w:val="es-CO"/>
      </w:rPr>
    </w:pPr>
    <w:r>
      <w:rPr>
        <w:b/>
        <w:sz w:val="20"/>
        <w:szCs w:val="20"/>
        <w:lang w:val="es-CO"/>
      </w:rPr>
      <w:t>Página 3</w:t>
    </w:r>
  </w:p>
  <w:p w14:paraId="3371B60E" w14:textId="77777777" w:rsidR="00F827C9" w:rsidRPr="00E22E36" w:rsidRDefault="00F827C9" w:rsidP="00F827C9">
    <w:pPr>
      <w:pStyle w:val="Encabezado"/>
      <w:jc w:val="both"/>
      <w:rPr>
        <w:b/>
        <w:sz w:val="20"/>
        <w:szCs w:val="20"/>
        <w:lang w:val="es-CO"/>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6938D" w14:textId="77777777" w:rsidR="0081767E" w:rsidRPr="00710CA4" w:rsidRDefault="0081767E" w:rsidP="00F827C9">
    <w:pPr>
      <w:jc w:val="center"/>
      <w:rPr>
        <w:b/>
        <w:sz w:val="24"/>
        <w:szCs w:val="24"/>
        <w:lang w:val="es-CO"/>
      </w:rPr>
    </w:pPr>
    <w:r w:rsidRPr="00710CA4">
      <w:rPr>
        <w:b/>
        <w:sz w:val="24"/>
        <w:szCs w:val="24"/>
        <w:lang w:val="es-CO"/>
      </w:rPr>
      <w:t>SUPERINTENDENCIA FINANCIERA DE COLOMBIA</w:t>
    </w:r>
  </w:p>
  <w:p w14:paraId="59C762A9" w14:textId="77777777" w:rsidR="0081767E" w:rsidRDefault="0081767E" w:rsidP="00F827C9">
    <w:pPr>
      <w:rPr>
        <w:lang w:val="es-CO"/>
      </w:rPr>
    </w:pPr>
  </w:p>
  <w:p w14:paraId="5120D073" w14:textId="77777777" w:rsidR="0081767E" w:rsidRPr="00710CA4" w:rsidRDefault="0081767E" w:rsidP="00F827C9">
    <w:pPr>
      <w:jc w:val="both"/>
      <w:rPr>
        <w:b/>
        <w:sz w:val="20"/>
        <w:szCs w:val="20"/>
        <w:lang w:val="es-CO"/>
      </w:rPr>
    </w:pPr>
    <w:r w:rsidRPr="00710CA4">
      <w:rPr>
        <w:b/>
        <w:sz w:val="20"/>
        <w:szCs w:val="20"/>
        <w:lang w:val="es-CO"/>
      </w:rPr>
      <w:t>ANEXO I: CAPÍTULO XXI REGLAS RELATIVAS A LA ADMINISTRACIÓN DE LOS RIESGOS DE MERCADO</w:t>
    </w:r>
  </w:p>
  <w:p w14:paraId="72E9AA8F" w14:textId="77777777" w:rsidR="0081767E" w:rsidRDefault="0081767E" w:rsidP="00F827C9">
    <w:pPr>
      <w:pStyle w:val="Encabezado"/>
      <w:jc w:val="both"/>
      <w:rPr>
        <w:b/>
        <w:sz w:val="20"/>
        <w:szCs w:val="20"/>
        <w:lang w:val="es-CO"/>
      </w:rPr>
    </w:pPr>
  </w:p>
  <w:p w14:paraId="0941278A" w14:textId="77777777" w:rsidR="0081767E" w:rsidRDefault="0081767E" w:rsidP="00F827C9">
    <w:pPr>
      <w:pStyle w:val="Encabezado"/>
      <w:jc w:val="both"/>
      <w:rPr>
        <w:b/>
        <w:sz w:val="20"/>
        <w:szCs w:val="20"/>
        <w:lang w:val="es-CO"/>
      </w:rPr>
    </w:pPr>
    <w:r>
      <w:rPr>
        <w:b/>
        <w:sz w:val="20"/>
        <w:szCs w:val="20"/>
        <w:lang w:val="es-CO"/>
      </w:rPr>
      <w:t>Página 4</w:t>
    </w:r>
  </w:p>
  <w:p w14:paraId="239688B7" w14:textId="77777777" w:rsidR="0081767E" w:rsidRPr="00E22E36" w:rsidRDefault="0081767E" w:rsidP="00F827C9">
    <w:pPr>
      <w:pStyle w:val="Encabezado"/>
      <w:jc w:val="both"/>
      <w:rPr>
        <w:b/>
        <w:sz w:val="20"/>
        <w:szCs w:val="20"/>
        <w:lang w:val="es-CO"/>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41EDE" w14:textId="77777777" w:rsidR="0081767E" w:rsidRPr="00710CA4" w:rsidRDefault="0081767E" w:rsidP="00F827C9">
    <w:pPr>
      <w:jc w:val="center"/>
      <w:rPr>
        <w:b/>
        <w:sz w:val="24"/>
        <w:szCs w:val="24"/>
        <w:lang w:val="es-CO"/>
      </w:rPr>
    </w:pPr>
    <w:r w:rsidRPr="00710CA4">
      <w:rPr>
        <w:b/>
        <w:sz w:val="24"/>
        <w:szCs w:val="24"/>
        <w:lang w:val="es-CO"/>
      </w:rPr>
      <w:t>SUPERINTENDENCIA FINANCIERA DE COLOMBIA</w:t>
    </w:r>
  </w:p>
  <w:p w14:paraId="58411A4A" w14:textId="77777777" w:rsidR="0081767E" w:rsidRDefault="0081767E" w:rsidP="00F827C9">
    <w:pPr>
      <w:rPr>
        <w:lang w:val="es-CO"/>
      </w:rPr>
    </w:pPr>
  </w:p>
  <w:p w14:paraId="549A7B72" w14:textId="77777777" w:rsidR="0081767E" w:rsidRPr="00710CA4" w:rsidRDefault="0081767E" w:rsidP="00F827C9">
    <w:pPr>
      <w:jc w:val="both"/>
      <w:rPr>
        <w:b/>
        <w:sz w:val="20"/>
        <w:szCs w:val="20"/>
        <w:lang w:val="es-CO"/>
      </w:rPr>
    </w:pPr>
    <w:r w:rsidRPr="00710CA4">
      <w:rPr>
        <w:b/>
        <w:sz w:val="20"/>
        <w:szCs w:val="20"/>
        <w:lang w:val="es-CO"/>
      </w:rPr>
      <w:t>ANEXO I: CAPÍTULO XXI REGLAS RELATIVAS A LA ADMINISTRACIÓN DE LOS RIESGOS DE MERCADO</w:t>
    </w:r>
  </w:p>
  <w:p w14:paraId="457EBA34" w14:textId="77777777" w:rsidR="0081767E" w:rsidRDefault="0081767E" w:rsidP="00F827C9">
    <w:pPr>
      <w:pStyle w:val="Encabezado"/>
      <w:jc w:val="both"/>
      <w:rPr>
        <w:b/>
        <w:sz w:val="20"/>
        <w:szCs w:val="20"/>
        <w:lang w:val="es-CO"/>
      </w:rPr>
    </w:pPr>
  </w:p>
  <w:p w14:paraId="29BA250C" w14:textId="77777777" w:rsidR="0081767E" w:rsidRDefault="0081767E" w:rsidP="00F827C9">
    <w:pPr>
      <w:pStyle w:val="Encabezado"/>
      <w:jc w:val="both"/>
      <w:rPr>
        <w:b/>
        <w:sz w:val="20"/>
        <w:szCs w:val="20"/>
        <w:lang w:val="es-CO"/>
      </w:rPr>
    </w:pPr>
    <w:r>
      <w:rPr>
        <w:b/>
        <w:sz w:val="20"/>
        <w:szCs w:val="20"/>
        <w:lang w:val="es-CO"/>
      </w:rPr>
      <w:t>Página 16</w:t>
    </w:r>
  </w:p>
  <w:p w14:paraId="652C1420" w14:textId="77777777" w:rsidR="0081767E" w:rsidRPr="00E22E36" w:rsidRDefault="0081767E" w:rsidP="00F827C9">
    <w:pPr>
      <w:pStyle w:val="Encabezado"/>
      <w:jc w:val="both"/>
      <w:rPr>
        <w:b/>
        <w:sz w:val="20"/>
        <w:szCs w:val="20"/>
        <w:lang w:val="es-CO"/>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60288" w14:textId="77777777" w:rsidR="00EF52E9" w:rsidRPr="00710CA4" w:rsidRDefault="00EF52E9" w:rsidP="00F827C9">
    <w:pPr>
      <w:jc w:val="center"/>
      <w:rPr>
        <w:b/>
        <w:sz w:val="24"/>
        <w:szCs w:val="24"/>
        <w:lang w:val="es-CO"/>
      </w:rPr>
    </w:pPr>
    <w:r w:rsidRPr="00710CA4">
      <w:rPr>
        <w:b/>
        <w:sz w:val="24"/>
        <w:szCs w:val="24"/>
        <w:lang w:val="es-CO"/>
      </w:rPr>
      <w:t>SUPERINTENDENCIA FINANCIERA DE COLOMBIA</w:t>
    </w:r>
  </w:p>
  <w:p w14:paraId="321C0EDF" w14:textId="77777777" w:rsidR="00EF52E9" w:rsidRDefault="00EF52E9" w:rsidP="00F827C9">
    <w:pPr>
      <w:rPr>
        <w:lang w:val="es-CO"/>
      </w:rPr>
    </w:pPr>
  </w:p>
  <w:p w14:paraId="79735753" w14:textId="77777777" w:rsidR="00EF52E9" w:rsidRPr="00710CA4" w:rsidRDefault="00EF52E9" w:rsidP="00F827C9">
    <w:pPr>
      <w:jc w:val="both"/>
      <w:rPr>
        <w:b/>
        <w:sz w:val="20"/>
        <w:szCs w:val="20"/>
        <w:lang w:val="es-CO"/>
      </w:rPr>
    </w:pPr>
    <w:r w:rsidRPr="00710CA4">
      <w:rPr>
        <w:b/>
        <w:sz w:val="20"/>
        <w:szCs w:val="20"/>
        <w:lang w:val="es-CO"/>
      </w:rPr>
      <w:t>ANEXO I: CAPÍTULO XXI REGLAS RELATIVAS A LA ADMINISTRACIÓN DE LOS RIESGOS DE MERCADO</w:t>
    </w:r>
  </w:p>
  <w:p w14:paraId="58EA14F2" w14:textId="77777777" w:rsidR="00EF52E9" w:rsidRDefault="00EF52E9" w:rsidP="00F827C9">
    <w:pPr>
      <w:pStyle w:val="Encabezado"/>
      <w:jc w:val="both"/>
      <w:rPr>
        <w:b/>
        <w:sz w:val="20"/>
        <w:szCs w:val="20"/>
        <w:lang w:val="es-CO"/>
      </w:rPr>
    </w:pPr>
  </w:p>
  <w:p w14:paraId="27326341" w14:textId="5691306D" w:rsidR="00EF52E9" w:rsidRDefault="00EF52E9" w:rsidP="00F827C9">
    <w:pPr>
      <w:pStyle w:val="Encabezado"/>
      <w:jc w:val="both"/>
      <w:rPr>
        <w:b/>
        <w:sz w:val="20"/>
        <w:szCs w:val="20"/>
        <w:lang w:val="es-CO"/>
      </w:rPr>
    </w:pPr>
    <w:r>
      <w:rPr>
        <w:b/>
        <w:sz w:val="20"/>
        <w:szCs w:val="20"/>
        <w:lang w:val="es-CO"/>
      </w:rPr>
      <w:t>Página 16-1</w:t>
    </w:r>
  </w:p>
  <w:p w14:paraId="53167833" w14:textId="77777777" w:rsidR="00EF52E9" w:rsidRPr="00E22E36" w:rsidRDefault="00EF52E9" w:rsidP="00F827C9">
    <w:pPr>
      <w:pStyle w:val="Encabezado"/>
      <w:jc w:val="both"/>
      <w:rPr>
        <w:b/>
        <w:sz w:val="20"/>
        <w:szCs w:val="20"/>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E7263"/>
    <w:multiLevelType w:val="hybridMultilevel"/>
    <w:tmpl w:val="3A02D04E"/>
    <w:lvl w:ilvl="0" w:tplc="05CE3276">
      <w:start w:val="1"/>
      <w:numFmt w:val="decimal"/>
      <w:lvlText w:val="%1."/>
      <w:lvlJc w:val="left"/>
      <w:pPr>
        <w:tabs>
          <w:tab w:val="num" w:pos="1440"/>
        </w:tabs>
        <w:ind w:left="1440" w:hanging="360"/>
      </w:pPr>
      <w:rPr>
        <w:rFonts w:cs="Times New Roman" w:hint="default"/>
      </w:rPr>
    </w:lvl>
    <w:lvl w:ilvl="1" w:tplc="0C0A0019">
      <w:start w:val="1"/>
      <w:numFmt w:val="lowerLetter"/>
      <w:lvlText w:val="%2."/>
      <w:lvlJc w:val="left"/>
      <w:pPr>
        <w:tabs>
          <w:tab w:val="num" w:pos="2520"/>
        </w:tabs>
        <w:ind w:left="2520" w:hanging="360"/>
      </w:pPr>
      <w:rPr>
        <w:rFonts w:cs="Times New Roman"/>
      </w:rPr>
    </w:lvl>
    <w:lvl w:ilvl="2" w:tplc="0C0A001B">
      <w:start w:val="1"/>
      <w:numFmt w:val="lowerRoman"/>
      <w:lvlText w:val="%3."/>
      <w:lvlJc w:val="right"/>
      <w:pPr>
        <w:tabs>
          <w:tab w:val="num" w:pos="3240"/>
        </w:tabs>
        <w:ind w:left="3240" w:hanging="180"/>
      </w:pPr>
      <w:rPr>
        <w:rFonts w:cs="Times New Roman"/>
      </w:rPr>
    </w:lvl>
    <w:lvl w:ilvl="3" w:tplc="0C0A000F">
      <w:start w:val="1"/>
      <w:numFmt w:val="decimal"/>
      <w:lvlText w:val="%4."/>
      <w:lvlJc w:val="left"/>
      <w:pPr>
        <w:tabs>
          <w:tab w:val="num" w:pos="3960"/>
        </w:tabs>
        <w:ind w:left="3960" w:hanging="360"/>
      </w:pPr>
      <w:rPr>
        <w:rFonts w:cs="Times New Roman"/>
      </w:rPr>
    </w:lvl>
    <w:lvl w:ilvl="4" w:tplc="0C0A0019">
      <w:start w:val="1"/>
      <w:numFmt w:val="lowerLetter"/>
      <w:lvlText w:val="%5."/>
      <w:lvlJc w:val="left"/>
      <w:pPr>
        <w:tabs>
          <w:tab w:val="num" w:pos="4680"/>
        </w:tabs>
        <w:ind w:left="4680" w:hanging="360"/>
      </w:pPr>
      <w:rPr>
        <w:rFonts w:cs="Times New Roman"/>
      </w:rPr>
    </w:lvl>
    <w:lvl w:ilvl="5" w:tplc="0C0A001B">
      <w:start w:val="1"/>
      <w:numFmt w:val="lowerRoman"/>
      <w:lvlText w:val="%6."/>
      <w:lvlJc w:val="right"/>
      <w:pPr>
        <w:tabs>
          <w:tab w:val="num" w:pos="5400"/>
        </w:tabs>
        <w:ind w:left="5400" w:hanging="180"/>
      </w:pPr>
      <w:rPr>
        <w:rFonts w:cs="Times New Roman"/>
      </w:rPr>
    </w:lvl>
    <w:lvl w:ilvl="6" w:tplc="0C0A000F">
      <w:start w:val="1"/>
      <w:numFmt w:val="decimal"/>
      <w:lvlText w:val="%7."/>
      <w:lvlJc w:val="left"/>
      <w:pPr>
        <w:tabs>
          <w:tab w:val="num" w:pos="6120"/>
        </w:tabs>
        <w:ind w:left="6120" w:hanging="360"/>
      </w:pPr>
      <w:rPr>
        <w:rFonts w:cs="Times New Roman"/>
      </w:rPr>
    </w:lvl>
    <w:lvl w:ilvl="7" w:tplc="0C0A0019">
      <w:start w:val="1"/>
      <w:numFmt w:val="lowerLetter"/>
      <w:lvlText w:val="%8."/>
      <w:lvlJc w:val="left"/>
      <w:pPr>
        <w:tabs>
          <w:tab w:val="num" w:pos="6840"/>
        </w:tabs>
        <w:ind w:left="6840" w:hanging="360"/>
      </w:pPr>
      <w:rPr>
        <w:rFonts w:cs="Times New Roman"/>
      </w:rPr>
    </w:lvl>
    <w:lvl w:ilvl="8" w:tplc="0C0A001B">
      <w:start w:val="1"/>
      <w:numFmt w:val="lowerRoman"/>
      <w:lvlText w:val="%9."/>
      <w:lvlJc w:val="right"/>
      <w:pPr>
        <w:tabs>
          <w:tab w:val="num" w:pos="7560"/>
        </w:tabs>
        <w:ind w:left="7560" w:hanging="180"/>
      </w:pPr>
      <w:rPr>
        <w:rFonts w:cs="Times New Roman"/>
      </w:rPr>
    </w:lvl>
  </w:abstractNum>
  <w:abstractNum w:abstractNumId="1" w15:restartNumberingAfterBreak="0">
    <w:nsid w:val="06005601"/>
    <w:multiLevelType w:val="hybridMultilevel"/>
    <w:tmpl w:val="51D838CC"/>
    <w:lvl w:ilvl="0" w:tplc="0C0A000F">
      <w:start w:val="1"/>
      <w:numFmt w:val="decimal"/>
      <w:lvlText w:val="%1."/>
      <w:lvlJc w:val="left"/>
      <w:pPr>
        <w:tabs>
          <w:tab w:val="num" w:pos="1068"/>
        </w:tabs>
        <w:ind w:left="1068" w:hanging="360"/>
      </w:pPr>
      <w:rPr>
        <w:rFonts w:cs="Times New Roman"/>
      </w:rPr>
    </w:lvl>
    <w:lvl w:ilvl="1" w:tplc="0C0A0019">
      <w:start w:val="1"/>
      <w:numFmt w:val="lowerLetter"/>
      <w:lvlText w:val="%2."/>
      <w:lvlJc w:val="left"/>
      <w:pPr>
        <w:tabs>
          <w:tab w:val="num" w:pos="1788"/>
        </w:tabs>
        <w:ind w:left="1788" w:hanging="360"/>
      </w:pPr>
      <w:rPr>
        <w:rFonts w:cs="Times New Roman"/>
      </w:rPr>
    </w:lvl>
    <w:lvl w:ilvl="2" w:tplc="0C0A001B">
      <w:start w:val="1"/>
      <w:numFmt w:val="lowerRoman"/>
      <w:lvlText w:val="%3."/>
      <w:lvlJc w:val="right"/>
      <w:pPr>
        <w:tabs>
          <w:tab w:val="num" w:pos="2508"/>
        </w:tabs>
        <w:ind w:left="2508" w:hanging="180"/>
      </w:pPr>
      <w:rPr>
        <w:rFonts w:cs="Times New Roman"/>
      </w:rPr>
    </w:lvl>
    <w:lvl w:ilvl="3" w:tplc="0C0A000F">
      <w:start w:val="1"/>
      <w:numFmt w:val="decimal"/>
      <w:lvlText w:val="%4."/>
      <w:lvlJc w:val="left"/>
      <w:pPr>
        <w:tabs>
          <w:tab w:val="num" w:pos="3228"/>
        </w:tabs>
        <w:ind w:left="3228" w:hanging="360"/>
      </w:pPr>
      <w:rPr>
        <w:rFonts w:cs="Times New Roman"/>
      </w:rPr>
    </w:lvl>
    <w:lvl w:ilvl="4" w:tplc="0C0A0019">
      <w:start w:val="1"/>
      <w:numFmt w:val="lowerLetter"/>
      <w:lvlText w:val="%5."/>
      <w:lvlJc w:val="left"/>
      <w:pPr>
        <w:tabs>
          <w:tab w:val="num" w:pos="3948"/>
        </w:tabs>
        <w:ind w:left="3948" w:hanging="360"/>
      </w:pPr>
      <w:rPr>
        <w:rFonts w:cs="Times New Roman"/>
      </w:rPr>
    </w:lvl>
    <w:lvl w:ilvl="5" w:tplc="0C0A001B">
      <w:start w:val="1"/>
      <w:numFmt w:val="lowerRoman"/>
      <w:lvlText w:val="%6."/>
      <w:lvlJc w:val="right"/>
      <w:pPr>
        <w:tabs>
          <w:tab w:val="num" w:pos="4668"/>
        </w:tabs>
        <w:ind w:left="4668" w:hanging="180"/>
      </w:pPr>
      <w:rPr>
        <w:rFonts w:cs="Times New Roman"/>
      </w:rPr>
    </w:lvl>
    <w:lvl w:ilvl="6" w:tplc="0C0A000F">
      <w:start w:val="1"/>
      <w:numFmt w:val="decimal"/>
      <w:lvlText w:val="%7."/>
      <w:lvlJc w:val="left"/>
      <w:pPr>
        <w:tabs>
          <w:tab w:val="num" w:pos="5388"/>
        </w:tabs>
        <w:ind w:left="5388" w:hanging="360"/>
      </w:pPr>
      <w:rPr>
        <w:rFonts w:cs="Times New Roman"/>
      </w:rPr>
    </w:lvl>
    <w:lvl w:ilvl="7" w:tplc="0C0A0019">
      <w:start w:val="1"/>
      <w:numFmt w:val="lowerLetter"/>
      <w:lvlText w:val="%8."/>
      <w:lvlJc w:val="left"/>
      <w:pPr>
        <w:tabs>
          <w:tab w:val="num" w:pos="6108"/>
        </w:tabs>
        <w:ind w:left="6108" w:hanging="360"/>
      </w:pPr>
      <w:rPr>
        <w:rFonts w:cs="Times New Roman"/>
      </w:rPr>
    </w:lvl>
    <w:lvl w:ilvl="8" w:tplc="0C0A001B">
      <w:start w:val="1"/>
      <w:numFmt w:val="lowerRoman"/>
      <w:lvlText w:val="%9."/>
      <w:lvlJc w:val="right"/>
      <w:pPr>
        <w:tabs>
          <w:tab w:val="num" w:pos="6828"/>
        </w:tabs>
        <w:ind w:left="6828" w:hanging="180"/>
      </w:pPr>
      <w:rPr>
        <w:rFonts w:cs="Times New Roman"/>
      </w:rPr>
    </w:lvl>
  </w:abstractNum>
  <w:abstractNum w:abstractNumId="2" w15:restartNumberingAfterBreak="0">
    <w:nsid w:val="0ACA198E"/>
    <w:multiLevelType w:val="hybridMultilevel"/>
    <w:tmpl w:val="2E1C3D92"/>
    <w:lvl w:ilvl="0" w:tplc="67AA6040">
      <w:start w:val="1"/>
      <w:numFmt w:val="decimal"/>
      <w:lvlText w:val="%1."/>
      <w:lvlJc w:val="left"/>
      <w:pPr>
        <w:tabs>
          <w:tab w:val="num" w:pos="360"/>
        </w:tabs>
        <w:ind w:left="360" w:hanging="360"/>
      </w:pPr>
      <w:rPr>
        <w:rFonts w:cs="Times New Roman"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EAD2A15"/>
    <w:multiLevelType w:val="hybridMultilevel"/>
    <w:tmpl w:val="30242990"/>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4" w15:restartNumberingAfterBreak="0">
    <w:nsid w:val="0F1D0CA5"/>
    <w:multiLevelType w:val="hybridMultilevel"/>
    <w:tmpl w:val="6C80D0D8"/>
    <w:lvl w:ilvl="0" w:tplc="EC5AECA4">
      <w:start w:val="3"/>
      <w:numFmt w:val="lowerRoman"/>
      <w:lvlText w:val="(%1)"/>
      <w:lvlJc w:val="left"/>
      <w:pPr>
        <w:tabs>
          <w:tab w:val="num" w:pos="1428"/>
        </w:tabs>
        <w:ind w:left="1428"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16085B54"/>
    <w:multiLevelType w:val="hybridMultilevel"/>
    <w:tmpl w:val="D55244CE"/>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6" w15:restartNumberingAfterBreak="0">
    <w:nsid w:val="19186C6E"/>
    <w:multiLevelType w:val="hybridMultilevel"/>
    <w:tmpl w:val="065C6D8A"/>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7" w15:restartNumberingAfterBreak="0">
    <w:nsid w:val="194226AD"/>
    <w:multiLevelType w:val="hybridMultilevel"/>
    <w:tmpl w:val="08424F44"/>
    <w:lvl w:ilvl="0" w:tplc="0C0A000F">
      <w:start w:val="1"/>
      <w:numFmt w:val="decimal"/>
      <w:lvlText w:val="%1."/>
      <w:lvlJc w:val="left"/>
      <w:pPr>
        <w:tabs>
          <w:tab w:val="num" w:pos="1068"/>
        </w:tabs>
        <w:ind w:left="1068" w:hanging="360"/>
      </w:pPr>
      <w:rPr>
        <w:rFonts w:cs="Times New Roman"/>
      </w:rPr>
    </w:lvl>
    <w:lvl w:ilvl="1" w:tplc="0C0A0019">
      <w:start w:val="1"/>
      <w:numFmt w:val="lowerLetter"/>
      <w:lvlText w:val="%2."/>
      <w:lvlJc w:val="left"/>
      <w:pPr>
        <w:tabs>
          <w:tab w:val="num" w:pos="1788"/>
        </w:tabs>
        <w:ind w:left="1788" w:hanging="360"/>
      </w:pPr>
      <w:rPr>
        <w:rFonts w:cs="Times New Roman"/>
      </w:rPr>
    </w:lvl>
    <w:lvl w:ilvl="2" w:tplc="0C0A001B">
      <w:start w:val="1"/>
      <w:numFmt w:val="lowerRoman"/>
      <w:lvlText w:val="%3."/>
      <w:lvlJc w:val="right"/>
      <w:pPr>
        <w:tabs>
          <w:tab w:val="num" w:pos="2508"/>
        </w:tabs>
        <w:ind w:left="2508" w:hanging="180"/>
      </w:pPr>
      <w:rPr>
        <w:rFonts w:cs="Times New Roman"/>
      </w:rPr>
    </w:lvl>
    <w:lvl w:ilvl="3" w:tplc="0C0A000F">
      <w:start w:val="1"/>
      <w:numFmt w:val="decimal"/>
      <w:lvlText w:val="%4."/>
      <w:lvlJc w:val="left"/>
      <w:pPr>
        <w:tabs>
          <w:tab w:val="num" w:pos="3228"/>
        </w:tabs>
        <w:ind w:left="3228" w:hanging="360"/>
      </w:pPr>
      <w:rPr>
        <w:rFonts w:cs="Times New Roman"/>
      </w:rPr>
    </w:lvl>
    <w:lvl w:ilvl="4" w:tplc="0C0A0019">
      <w:start w:val="1"/>
      <w:numFmt w:val="lowerLetter"/>
      <w:lvlText w:val="%5."/>
      <w:lvlJc w:val="left"/>
      <w:pPr>
        <w:tabs>
          <w:tab w:val="num" w:pos="3948"/>
        </w:tabs>
        <w:ind w:left="3948" w:hanging="360"/>
      </w:pPr>
      <w:rPr>
        <w:rFonts w:cs="Times New Roman"/>
      </w:rPr>
    </w:lvl>
    <w:lvl w:ilvl="5" w:tplc="0C0A001B">
      <w:start w:val="1"/>
      <w:numFmt w:val="lowerRoman"/>
      <w:lvlText w:val="%6."/>
      <w:lvlJc w:val="right"/>
      <w:pPr>
        <w:tabs>
          <w:tab w:val="num" w:pos="4668"/>
        </w:tabs>
        <w:ind w:left="4668" w:hanging="180"/>
      </w:pPr>
      <w:rPr>
        <w:rFonts w:cs="Times New Roman"/>
      </w:rPr>
    </w:lvl>
    <w:lvl w:ilvl="6" w:tplc="0C0A000F">
      <w:start w:val="1"/>
      <w:numFmt w:val="decimal"/>
      <w:lvlText w:val="%7."/>
      <w:lvlJc w:val="left"/>
      <w:pPr>
        <w:tabs>
          <w:tab w:val="num" w:pos="5388"/>
        </w:tabs>
        <w:ind w:left="5388" w:hanging="360"/>
      </w:pPr>
      <w:rPr>
        <w:rFonts w:cs="Times New Roman"/>
      </w:rPr>
    </w:lvl>
    <w:lvl w:ilvl="7" w:tplc="0C0A0019">
      <w:start w:val="1"/>
      <w:numFmt w:val="lowerLetter"/>
      <w:lvlText w:val="%8."/>
      <w:lvlJc w:val="left"/>
      <w:pPr>
        <w:tabs>
          <w:tab w:val="num" w:pos="6108"/>
        </w:tabs>
        <w:ind w:left="6108" w:hanging="360"/>
      </w:pPr>
      <w:rPr>
        <w:rFonts w:cs="Times New Roman"/>
      </w:rPr>
    </w:lvl>
    <w:lvl w:ilvl="8" w:tplc="0C0A001B">
      <w:start w:val="1"/>
      <w:numFmt w:val="lowerRoman"/>
      <w:lvlText w:val="%9."/>
      <w:lvlJc w:val="right"/>
      <w:pPr>
        <w:tabs>
          <w:tab w:val="num" w:pos="6828"/>
        </w:tabs>
        <w:ind w:left="6828" w:hanging="180"/>
      </w:pPr>
      <w:rPr>
        <w:rFonts w:cs="Times New Roman"/>
      </w:rPr>
    </w:lvl>
  </w:abstractNum>
  <w:abstractNum w:abstractNumId="8" w15:restartNumberingAfterBreak="0">
    <w:nsid w:val="195D3F98"/>
    <w:multiLevelType w:val="hybridMultilevel"/>
    <w:tmpl w:val="5A2CAFCC"/>
    <w:lvl w:ilvl="0" w:tplc="34F64D78">
      <w:start w:val="1"/>
      <w:numFmt w:val="lowerLetter"/>
      <w:lvlText w:val="%1."/>
      <w:lvlJc w:val="left"/>
      <w:pPr>
        <w:tabs>
          <w:tab w:val="num" w:pos="-207"/>
        </w:tabs>
        <w:ind w:left="643" w:hanging="283"/>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9" w15:restartNumberingAfterBreak="0">
    <w:nsid w:val="1E1F4F31"/>
    <w:multiLevelType w:val="hybridMultilevel"/>
    <w:tmpl w:val="3D4886C6"/>
    <w:lvl w:ilvl="0" w:tplc="DA628EB0">
      <w:start w:val="1"/>
      <w:numFmt w:val="lowerLetter"/>
      <w:pStyle w:val="Normal9pt"/>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0" w15:restartNumberingAfterBreak="0">
    <w:nsid w:val="278E3A12"/>
    <w:multiLevelType w:val="hybridMultilevel"/>
    <w:tmpl w:val="FDCC0818"/>
    <w:lvl w:ilvl="0" w:tplc="86643E16">
      <w:start w:val="1"/>
      <w:numFmt w:val="decimal"/>
      <w:lvlText w:val="%1."/>
      <w:lvlJc w:val="left"/>
      <w:pPr>
        <w:tabs>
          <w:tab w:val="num" w:pos="360"/>
        </w:tabs>
        <w:ind w:left="360" w:hanging="360"/>
      </w:pPr>
      <w:rPr>
        <w:rFonts w:cs="Times New Roman"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850326B"/>
    <w:multiLevelType w:val="hybridMultilevel"/>
    <w:tmpl w:val="BDACFE9E"/>
    <w:lvl w:ilvl="0" w:tplc="B616FED0">
      <w:start w:val="2"/>
      <w:numFmt w:val="lowerLetter"/>
      <w:lvlText w:val="%1."/>
      <w:lvlJc w:val="left"/>
      <w:pPr>
        <w:tabs>
          <w:tab w:val="num" w:pos="720"/>
        </w:tabs>
        <w:ind w:left="720" w:hanging="360"/>
      </w:pPr>
      <w:rPr>
        <w:rFonts w:cs="Times New Roman" w:hint="default"/>
      </w:rPr>
    </w:lvl>
    <w:lvl w:ilvl="1" w:tplc="05CE3276">
      <w:start w:val="1"/>
      <w:numFmt w:val="decimal"/>
      <w:lvlText w:val="%2."/>
      <w:lvlJc w:val="left"/>
      <w:pPr>
        <w:tabs>
          <w:tab w:val="num" w:pos="1440"/>
        </w:tabs>
        <w:ind w:left="1440" w:hanging="360"/>
      </w:pPr>
      <w:rPr>
        <w:rFonts w:cs="Times New Roman" w:hint="default"/>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2" w15:restartNumberingAfterBreak="0">
    <w:nsid w:val="28B84628"/>
    <w:multiLevelType w:val="hybridMultilevel"/>
    <w:tmpl w:val="14D0B602"/>
    <w:lvl w:ilvl="0" w:tplc="FDD47424">
      <w:start w:val="1"/>
      <w:numFmt w:val="low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294879C5"/>
    <w:multiLevelType w:val="hybridMultilevel"/>
    <w:tmpl w:val="B5540D24"/>
    <w:lvl w:ilvl="0" w:tplc="8CDC69C6">
      <w:start w:val="1"/>
      <w:numFmt w:val="decimal"/>
      <w:lvlText w:val="%1."/>
      <w:lvlJc w:val="left"/>
      <w:pPr>
        <w:tabs>
          <w:tab w:val="num" w:pos="360"/>
        </w:tabs>
        <w:ind w:left="360" w:hanging="360"/>
      </w:pPr>
      <w:rPr>
        <w:rFonts w:cs="Times New Roman"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AF81AFE"/>
    <w:multiLevelType w:val="hybridMultilevel"/>
    <w:tmpl w:val="64546520"/>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5" w15:restartNumberingAfterBreak="0">
    <w:nsid w:val="2E287BBE"/>
    <w:multiLevelType w:val="hybridMultilevel"/>
    <w:tmpl w:val="00482F50"/>
    <w:lvl w:ilvl="0" w:tplc="0C0A000F">
      <w:start w:val="1"/>
      <w:numFmt w:val="decimal"/>
      <w:lvlText w:val="%1."/>
      <w:lvlJc w:val="left"/>
      <w:pPr>
        <w:tabs>
          <w:tab w:val="num" w:pos="360"/>
        </w:tabs>
        <w:ind w:left="360" w:hanging="360"/>
      </w:pPr>
      <w:rPr>
        <w:rFonts w:cs="Times New Roman"/>
      </w:rPr>
    </w:lvl>
    <w:lvl w:ilvl="1" w:tplc="0C0A0019">
      <w:start w:val="1"/>
      <w:numFmt w:val="lowerLetter"/>
      <w:lvlText w:val="%2."/>
      <w:lvlJc w:val="left"/>
      <w:pPr>
        <w:tabs>
          <w:tab w:val="num" w:pos="1080"/>
        </w:tabs>
        <w:ind w:left="1080" w:hanging="360"/>
      </w:pPr>
      <w:rPr>
        <w:rFonts w:cs="Times New Roman"/>
      </w:rPr>
    </w:lvl>
    <w:lvl w:ilvl="2" w:tplc="0C0A001B">
      <w:start w:val="1"/>
      <w:numFmt w:val="lowerRoman"/>
      <w:lvlText w:val="%3."/>
      <w:lvlJc w:val="right"/>
      <w:pPr>
        <w:tabs>
          <w:tab w:val="num" w:pos="1800"/>
        </w:tabs>
        <w:ind w:left="1800" w:hanging="180"/>
      </w:pPr>
      <w:rPr>
        <w:rFonts w:cs="Times New Roman"/>
      </w:rPr>
    </w:lvl>
    <w:lvl w:ilvl="3" w:tplc="0C0A000F">
      <w:start w:val="1"/>
      <w:numFmt w:val="decimal"/>
      <w:lvlText w:val="%4."/>
      <w:lvlJc w:val="left"/>
      <w:pPr>
        <w:tabs>
          <w:tab w:val="num" w:pos="2520"/>
        </w:tabs>
        <w:ind w:left="2520" w:hanging="360"/>
      </w:pPr>
      <w:rPr>
        <w:rFonts w:cs="Times New Roman"/>
      </w:rPr>
    </w:lvl>
    <w:lvl w:ilvl="4" w:tplc="0C0A0019">
      <w:start w:val="1"/>
      <w:numFmt w:val="lowerLetter"/>
      <w:lvlText w:val="%5."/>
      <w:lvlJc w:val="left"/>
      <w:pPr>
        <w:tabs>
          <w:tab w:val="num" w:pos="3240"/>
        </w:tabs>
        <w:ind w:left="3240" w:hanging="360"/>
      </w:pPr>
      <w:rPr>
        <w:rFonts w:cs="Times New Roman"/>
      </w:rPr>
    </w:lvl>
    <w:lvl w:ilvl="5" w:tplc="0C0A001B">
      <w:start w:val="1"/>
      <w:numFmt w:val="lowerRoman"/>
      <w:lvlText w:val="%6."/>
      <w:lvlJc w:val="right"/>
      <w:pPr>
        <w:tabs>
          <w:tab w:val="num" w:pos="3960"/>
        </w:tabs>
        <w:ind w:left="3960" w:hanging="180"/>
      </w:pPr>
      <w:rPr>
        <w:rFonts w:cs="Times New Roman"/>
      </w:rPr>
    </w:lvl>
    <w:lvl w:ilvl="6" w:tplc="0C0A000F">
      <w:start w:val="1"/>
      <w:numFmt w:val="decimal"/>
      <w:lvlText w:val="%7."/>
      <w:lvlJc w:val="left"/>
      <w:pPr>
        <w:tabs>
          <w:tab w:val="num" w:pos="4680"/>
        </w:tabs>
        <w:ind w:left="4680" w:hanging="360"/>
      </w:pPr>
      <w:rPr>
        <w:rFonts w:cs="Times New Roman"/>
      </w:rPr>
    </w:lvl>
    <w:lvl w:ilvl="7" w:tplc="0C0A0019">
      <w:start w:val="1"/>
      <w:numFmt w:val="lowerLetter"/>
      <w:lvlText w:val="%8."/>
      <w:lvlJc w:val="left"/>
      <w:pPr>
        <w:tabs>
          <w:tab w:val="num" w:pos="5400"/>
        </w:tabs>
        <w:ind w:left="5400" w:hanging="360"/>
      </w:pPr>
      <w:rPr>
        <w:rFonts w:cs="Times New Roman"/>
      </w:rPr>
    </w:lvl>
    <w:lvl w:ilvl="8" w:tplc="0C0A001B">
      <w:start w:val="1"/>
      <w:numFmt w:val="lowerRoman"/>
      <w:lvlText w:val="%9."/>
      <w:lvlJc w:val="right"/>
      <w:pPr>
        <w:tabs>
          <w:tab w:val="num" w:pos="6120"/>
        </w:tabs>
        <w:ind w:left="6120" w:hanging="180"/>
      </w:pPr>
      <w:rPr>
        <w:rFonts w:cs="Times New Roman"/>
      </w:rPr>
    </w:lvl>
  </w:abstractNum>
  <w:abstractNum w:abstractNumId="16" w15:restartNumberingAfterBreak="0">
    <w:nsid w:val="30DB6BE3"/>
    <w:multiLevelType w:val="hybridMultilevel"/>
    <w:tmpl w:val="4A6EBABA"/>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7" w15:restartNumberingAfterBreak="0">
    <w:nsid w:val="33126C13"/>
    <w:multiLevelType w:val="hybridMultilevel"/>
    <w:tmpl w:val="AA1A47CA"/>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8" w15:restartNumberingAfterBreak="0">
    <w:nsid w:val="34404556"/>
    <w:multiLevelType w:val="multilevel"/>
    <w:tmpl w:val="B31009B4"/>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77733C"/>
    <w:multiLevelType w:val="hybridMultilevel"/>
    <w:tmpl w:val="4C247352"/>
    <w:lvl w:ilvl="0" w:tplc="E90CEF82">
      <w:start w:val="3"/>
      <w:numFmt w:val="lowerLetter"/>
      <w:lvlText w:val="%1."/>
      <w:lvlJc w:val="left"/>
      <w:pPr>
        <w:tabs>
          <w:tab w:val="num" w:pos="720"/>
        </w:tabs>
        <w:ind w:left="720" w:hanging="360"/>
      </w:pPr>
      <w:rPr>
        <w:rFonts w:cs="Times New Roman"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3D5E021E"/>
    <w:multiLevelType w:val="hybridMultilevel"/>
    <w:tmpl w:val="EB060D8C"/>
    <w:lvl w:ilvl="0" w:tplc="0C0A000F">
      <w:start w:val="1"/>
      <w:numFmt w:val="decimal"/>
      <w:lvlText w:val="%1."/>
      <w:lvlJc w:val="left"/>
      <w:pPr>
        <w:tabs>
          <w:tab w:val="num" w:pos="1068"/>
        </w:tabs>
        <w:ind w:left="1068" w:hanging="360"/>
      </w:pPr>
      <w:rPr>
        <w:rFonts w:cs="Times New Roman"/>
      </w:rPr>
    </w:lvl>
    <w:lvl w:ilvl="1" w:tplc="0C0A0019">
      <w:start w:val="1"/>
      <w:numFmt w:val="lowerLetter"/>
      <w:lvlText w:val="%2."/>
      <w:lvlJc w:val="left"/>
      <w:pPr>
        <w:tabs>
          <w:tab w:val="num" w:pos="1788"/>
        </w:tabs>
        <w:ind w:left="1788" w:hanging="360"/>
      </w:pPr>
      <w:rPr>
        <w:rFonts w:cs="Times New Roman"/>
      </w:rPr>
    </w:lvl>
    <w:lvl w:ilvl="2" w:tplc="0C0A001B">
      <w:start w:val="1"/>
      <w:numFmt w:val="lowerRoman"/>
      <w:lvlText w:val="%3."/>
      <w:lvlJc w:val="right"/>
      <w:pPr>
        <w:tabs>
          <w:tab w:val="num" w:pos="2508"/>
        </w:tabs>
        <w:ind w:left="2508" w:hanging="180"/>
      </w:pPr>
      <w:rPr>
        <w:rFonts w:cs="Times New Roman"/>
      </w:rPr>
    </w:lvl>
    <w:lvl w:ilvl="3" w:tplc="0C0A000F">
      <w:start w:val="1"/>
      <w:numFmt w:val="decimal"/>
      <w:lvlText w:val="%4."/>
      <w:lvlJc w:val="left"/>
      <w:pPr>
        <w:tabs>
          <w:tab w:val="num" w:pos="3228"/>
        </w:tabs>
        <w:ind w:left="3228" w:hanging="360"/>
      </w:pPr>
      <w:rPr>
        <w:rFonts w:cs="Times New Roman"/>
      </w:rPr>
    </w:lvl>
    <w:lvl w:ilvl="4" w:tplc="0C0A0019">
      <w:start w:val="1"/>
      <w:numFmt w:val="lowerLetter"/>
      <w:lvlText w:val="%5."/>
      <w:lvlJc w:val="left"/>
      <w:pPr>
        <w:tabs>
          <w:tab w:val="num" w:pos="3948"/>
        </w:tabs>
        <w:ind w:left="3948" w:hanging="360"/>
      </w:pPr>
      <w:rPr>
        <w:rFonts w:cs="Times New Roman"/>
      </w:rPr>
    </w:lvl>
    <w:lvl w:ilvl="5" w:tplc="0C0A001B">
      <w:start w:val="1"/>
      <w:numFmt w:val="lowerRoman"/>
      <w:lvlText w:val="%6."/>
      <w:lvlJc w:val="right"/>
      <w:pPr>
        <w:tabs>
          <w:tab w:val="num" w:pos="4668"/>
        </w:tabs>
        <w:ind w:left="4668" w:hanging="180"/>
      </w:pPr>
      <w:rPr>
        <w:rFonts w:cs="Times New Roman"/>
      </w:rPr>
    </w:lvl>
    <w:lvl w:ilvl="6" w:tplc="0C0A000F">
      <w:start w:val="1"/>
      <w:numFmt w:val="decimal"/>
      <w:lvlText w:val="%7."/>
      <w:lvlJc w:val="left"/>
      <w:pPr>
        <w:tabs>
          <w:tab w:val="num" w:pos="5388"/>
        </w:tabs>
        <w:ind w:left="5388" w:hanging="360"/>
      </w:pPr>
      <w:rPr>
        <w:rFonts w:cs="Times New Roman"/>
      </w:rPr>
    </w:lvl>
    <w:lvl w:ilvl="7" w:tplc="0C0A0019">
      <w:start w:val="1"/>
      <w:numFmt w:val="lowerLetter"/>
      <w:lvlText w:val="%8."/>
      <w:lvlJc w:val="left"/>
      <w:pPr>
        <w:tabs>
          <w:tab w:val="num" w:pos="6108"/>
        </w:tabs>
        <w:ind w:left="6108" w:hanging="360"/>
      </w:pPr>
      <w:rPr>
        <w:rFonts w:cs="Times New Roman"/>
      </w:rPr>
    </w:lvl>
    <w:lvl w:ilvl="8" w:tplc="0C0A001B">
      <w:start w:val="1"/>
      <w:numFmt w:val="lowerRoman"/>
      <w:lvlText w:val="%9."/>
      <w:lvlJc w:val="right"/>
      <w:pPr>
        <w:tabs>
          <w:tab w:val="num" w:pos="6828"/>
        </w:tabs>
        <w:ind w:left="6828" w:hanging="180"/>
      </w:pPr>
      <w:rPr>
        <w:rFonts w:cs="Times New Roman"/>
      </w:rPr>
    </w:lvl>
  </w:abstractNum>
  <w:abstractNum w:abstractNumId="21" w15:restartNumberingAfterBreak="0">
    <w:nsid w:val="3E70144C"/>
    <w:multiLevelType w:val="hybridMultilevel"/>
    <w:tmpl w:val="C7E420A2"/>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2" w15:restartNumberingAfterBreak="0">
    <w:nsid w:val="3FD63041"/>
    <w:multiLevelType w:val="multilevel"/>
    <w:tmpl w:val="DD50DD1A"/>
    <w:lvl w:ilvl="0">
      <w:start w:val="2"/>
      <w:numFmt w:val="decimal"/>
      <w:lvlText w:val="%1."/>
      <w:lvlJc w:val="left"/>
      <w:pPr>
        <w:tabs>
          <w:tab w:val="num" w:pos="705"/>
        </w:tabs>
        <w:ind w:left="705" w:hanging="705"/>
      </w:pPr>
      <w:rPr>
        <w:rFonts w:cs="Times New Roman" w:hint="default"/>
        <w:b/>
        <w:bCs/>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b/>
        <w:bCs/>
      </w:rPr>
    </w:lvl>
    <w:lvl w:ilvl="3">
      <w:start w:val="1"/>
      <w:numFmt w:val="decimal"/>
      <w:isLgl/>
      <w:lvlText w:val="%1.%2.%3.%4"/>
      <w:lvlJc w:val="left"/>
      <w:pPr>
        <w:tabs>
          <w:tab w:val="num" w:pos="720"/>
        </w:tabs>
        <w:ind w:left="720" w:hanging="720"/>
      </w:pPr>
      <w:rPr>
        <w:rFonts w:cs="Times New Roman" w:hint="default"/>
        <w:b/>
        <w:bCs/>
      </w:rPr>
    </w:lvl>
    <w:lvl w:ilvl="4">
      <w:start w:val="1"/>
      <w:numFmt w:val="decimal"/>
      <w:isLgl/>
      <w:lvlText w:val="%1.%2.%3.%4.%5"/>
      <w:lvlJc w:val="left"/>
      <w:pPr>
        <w:tabs>
          <w:tab w:val="num" w:pos="720"/>
        </w:tabs>
        <w:ind w:left="720" w:hanging="72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23" w15:restartNumberingAfterBreak="0">
    <w:nsid w:val="45C30E5F"/>
    <w:multiLevelType w:val="hybridMultilevel"/>
    <w:tmpl w:val="F3ACB412"/>
    <w:lvl w:ilvl="0" w:tplc="7106814A">
      <w:start w:val="2"/>
      <w:numFmt w:val="lowerLetter"/>
      <w:lvlText w:val="%1."/>
      <w:lvlJc w:val="left"/>
      <w:pPr>
        <w:tabs>
          <w:tab w:val="num" w:pos="360"/>
        </w:tabs>
        <w:ind w:left="360" w:hanging="360"/>
      </w:pPr>
      <w:rPr>
        <w:rFonts w:cs="Times New Roman" w:hint="default"/>
      </w:rPr>
    </w:lvl>
    <w:lvl w:ilvl="1" w:tplc="240A0019">
      <w:start w:val="1"/>
      <w:numFmt w:val="lowerLetter"/>
      <w:lvlText w:val="%2."/>
      <w:lvlJc w:val="left"/>
      <w:pPr>
        <w:ind w:left="732" w:hanging="360"/>
      </w:pPr>
    </w:lvl>
    <w:lvl w:ilvl="2" w:tplc="240A001B" w:tentative="1">
      <w:start w:val="1"/>
      <w:numFmt w:val="lowerRoman"/>
      <w:lvlText w:val="%3."/>
      <w:lvlJc w:val="right"/>
      <w:pPr>
        <w:ind w:left="1452" w:hanging="180"/>
      </w:pPr>
    </w:lvl>
    <w:lvl w:ilvl="3" w:tplc="240A000F" w:tentative="1">
      <w:start w:val="1"/>
      <w:numFmt w:val="decimal"/>
      <w:lvlText w:val="%4."/>
      <w:lvlJc w:val="left"/>
      <w:pPr>
        <w:ind w:left="2172" w:hanging="360"/>
      </w:pPr>
    </w:lvl>
    <w:lvl w:ilvl="4" w:tplc="240A0019" w:tentative="1">
      <w:start w:val="1"/>
      <w:numFmt w:val="lowerLetter"/>
      <w:lvlText w:val="%5."/>
      <w:lvlJc w:val="left"/>
      <w:pPr>
        <w:ind w:left="2892" w:hanging="360"/>
      </w:pPr>
    </w:lvl>
    <w:lvl w:ilvl="5" w:tplc="240A001B" w:tentative="1">
      <w:start w:val="1"/>
      <w:numFmt w:val="lowerRoman"/>
      <w:lvlText w:val="%6."/>
      <w:lvlJc w:val="right"/>
      <w:pPr>
        <w:ind w:left="3612" w:hanging="180"/>
      </w:pPr>
    </w:lvl>
    <w:lvl w:ilvl="6" w:tplc="240A000F" w:tentative="1">
      <w:start w:val="1"/>
      <w:numFmt w:val="decimal"/>
      <w:lvlText w:val="%7."/>
      <w:lvlJc w:val="left"/>
      <w:pPr>
        <w:ind w:left="4332" w:hanging="360"/>
      </w:pPr>
    </w:lvl>
    <w:lvl w:ilvl="7" w:tplc="240A0019" w:tentative="1">
      <w:start w:val="1"/>
      <w:numFmt w:val="lowerLetter"/>
      <w:lvlText w:val="%8."/>
      <w:lvlJc w:val="left"/>
      <w:pPr>
        <w:ind w:left="5052" w:hanging="360"/>
      </w:pPr>
    </w:lvl>
    <w:lvl w:ilvl="8" w:tplc="240A001B" w:tentative="1">
      <w:start w:val="1"/>
      <w:numFmt w:val="lowerRoman"/>
      <w:lvlText w:val="%9."/>
      <w:lvlJc w:val="right"/>
      <w:pPr>
        <w:ind w:left="5772" w:hanging="180"/>
      </w:pPr>
    </w:lvl>
  </w:abstractNum>
  <w:abstractNum w:abstractNumId="24" w15:restartNumberingAfterBreak="0">
    <w:nsid w:val="47427782"/>
    <w:multiLevelType w:val="hybridMultilevel"/>
    <w:tmpl w:val="2D8E0486"/>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5" w15:restartNumberingAfterBreak="0">
    <w:nsid w:val="481048EB"/>
    <w:multiLevelType w:val="hybridMultilevel"/>
    <w:tmpl w:val="6582AA1E"/>
    <w:lvl w:ilvl="0" w:tplc="03006B3A">
      <w:start w:val="1"/>
      <w:numFmt w:val="lowerLetter"/>
      <w:lvlText w:val="%1."/>
      <w:lvlJc w:val="left"/>
      <w:pPr>
        <w:tabs>
          <w:tab w:val="num" w:pos="357"/>
        </w:tabs>
        <w:ind w:firstLine="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6" w15:restartNumberingAfterBreak="0">
    <w:nsid w:val="4AB37924"/>
    <w:multiLevelType w:val="hybridMultilevel"/>
    <w:tmpl w:val="1D14F1F0"/>
    <w:lvl w:ilvl="0" w:tplc="594876CE">
      <w:start w:val="1"/>
      <w:numFmt w:val="lowerLetter"/>
      <w:lvlText w:val="%1."/>
      <w:lvlJc w:val="left"/>
      <w:pPr>
        <w:tabs>
          <w:tab w:val="num" w:pos="720"/>
        </w:tabs>
        <w:ind w:left="720" w:hanging="360"/>
      </w:pPr>
      <w:rPr>
        <w:rFonts w:cs="Times New Roman" w:hint="default"/>
      </w:rPr>
    </w:lvl>
    <w:lvl w:ilvl="1" w:tplc="2B642988">
      <w:start w:val="1"/>
      <w:numFmt w:val="decimal"/>
      <w:lvlText w:val="%2.)"/>
      <w:lvlJc w:val="left"/>
      <w:pPr>
        <w:tabs>
          <w:tab w:val="num" w:pos="1440"/>
        </w:tabs>
        <w:ind w:left="1440" w:hanging="360"/>
      </w:pPr>
      <w:rPr>
        <w:rFonts w:ascii="Arial" w:eastAsia="Times New Roman" w:hAnsi="Arial" w:cs="Arial"/>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7" w15:restartNumberingAfterBreak="0">
    <w:nsid w:val="4C466F9F"/>
    <w:multiLevelType w:val="hybridMultilevel"/>
    <w:tmpl w:val="6A6C49B6"/>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B63424"/>
    <w:multiLevelType w:val="hybridMultilevel"/>
    <w:tmpl w:val="052830A8"/>
    <w:lvl w:ilvl="0" w:tplc="05CE3276">
      <w:start w:val="1"/>
      <w:numFmt w:val="decimal"/>
      <w:lvlText w:val="%1."/>
      <w:lvlJc w:val="left"/>
      <w:pPr>
        <w:tabs>
          <w:tab w:val="num" w:pos="1440"/>
        </w:tabs>
        <w:ind w:left="144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9" w15:restartNumberingAfterBreak="0">
    <w:nsid w:val="4D3770F3"/>
    <w:multiLevelType w:val="hybridMultilevel"/>
    <w:tmpl w:val="D620119C"/>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0" w15:restartNumberingAfterBreak="0">
    <w:nsid w:val="4F5F2695"/>
    <w:multiLevelType w:val="hybridMultilevel"/>
    <w:tmpl w:val="ABDCB6AC"/>
    <w:lvl w:ilvl="0" w:tplc="A2D2C1AA">
      <w:start w:val="1"/>
      <w:numFmt w:val="lowerRoman"/>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1" w15:restartNumberingAfterBreak="0">
    <w:nsid w:val="54DB201E"/>
    <w:multiLevelType w:val="hybridMultilevel"/>
    <w:tmpl w:val="AC886C66"/>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2" w15:restartNumberingAfterBreak="0">
    <w:nsid w:val="54FE4DB3"/>
    <w:multiLevelType w:val="hybridMultilevel"/>
    <w:tmpl w:val="42E82CF6"/>
    <w:lvl w:ilvl="0" w:tplc="356A9150">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569022FE"/>
    <w:multiLevelType w:val="hybridMultilevel"/>
    <w:tmpl w:val="DF4C1382"/>
    <w:lvl w:ilvl="0" w:tplc="0C0A000F">
      <w:start w:val="2"/>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56D90268"/>
    <w:multiLevelType w:val="hybridMultilevel"/>
    <w:tmpl w:val="C0FAC652"/>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56E95EF4"/>
    <w:multiLevelType w:val="hybridMultilevel"/>
    <w:tmpl w:val="0492B50C"/>
    <w:lvl w:ilvl="0" w:tplc="2674924C">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6" w15:restartNumberingAfterBreak="0">
    <w:nsid w:val="5E621607"/>
    <w:multiLevelType w:val="hybridMultilevel"/>
    <w:tmpl w:val="8C24A38E"/>
    <w:lvl w:ilvl="0" w:tplc="78D6117A">
      <w:start w:val="1"/>
      <w:numFmt w:val="lowerLetter"/>
      <w:lvlText w:val="%1."/>
      <w:lvlJc w:val="left"/>
      <w:pPr>
        <w:tabs>
          <w:tab w:val="num" w:pos="-207"/>
        </w:tabs>
        <w:ind w:left="643" w:hanging="283"/>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5EAE1487"/>
    <w:multiLevelType w:val="hybridMultilevel"/>
    <w:tmpl w:val="6D7499E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0">
    <w:nsid w:val="5FED5766"/>
    <w:multiLevelType w:val="hybridMultilevel"/>
    <w:tmpl w:val="5276C7DA"/>
    <w:lvl w:ilvl="0" w:tplc="0C0A000F">
      <w:start w:val="1"/>
      <w:numFmt w:val="decimal"/>
      <w:lvlText w:val="%1."/>
      <w:lvlJc w:val="left"/>
      <w:pPr>
        <w:tabs>
          <w:tab w:val="num" w:pos="1068"/>
        </w:tabs>
        <w:ind w:left="1068" w:hanging="360"/>
      </w:pPr>
      <w:rPr>
        <w:rFonts w:cs="Times New Roman"/>
      </w:rPr>
    </w:lvl>
    <w:lvl w:ilvl="1" w:tplc="0C0A0019">
      <w:start w:val="1"/>
      <w:numFmt w:val="lowerLetter"/>
      <w:lvlText w:val="%2."/>
      <w:lvlJc w:val="left"/>
      <w:pPr>
        <w:tabs>
          <w:tab w:val="num" w:pos="1788"/>
        </w:tabs>
        <w:ind w:left="1788" w:hanging="360"/>
      </w:pPr>
      <w:rPr>
        <w:rFonts w:cs="Times New Roman"/>
      </w:rPr>
    </w:lvl>
    <w:lvl w:ilvl="2" w:tplc="0C0A001B">
      <w:start w:val="1"/>
      <w:numFmt w:val="lowerRoman"/>
      <w:lvlText w:val="%3."/>
      <w:lvlJc w:val="right"/>
      <w:pPr>
        <w:tabs>
          <w:tab w:val="num" w:pos="2508"/>
        </w:tabs>
        <w:ind w:left="2508" w:hanging="180"/>
      </w:pPr>
      <w:rPr>
        <w:rFonts w:cs="Times New Roman"/>
      </w:rPr>
    </w:lvl>
    <w:lvl w:ilvl="3" w:tplc="0C0A000F">
      <w:start w:val="1"/>
      <w:numFmt w:val="decimal"/>
      <w:lvlText w:val="%4."/>
      <w:lvlJc w:val="left"/>
      <w:pPr>
        <w:tabs>
          <w:tab w:val="num" w:pos="3228"/>
        </w:tabs>
        <w:ind w:left="3228" w:hanging="360"/>
      </w:pPr>
      <w:rPr>
        <w:rFonts w:cs="Times New Roman"/>
      </w:rPr>
    </w:lvl>
    <w:lvl w:ilvl="4" w:tplc="0C0A0019">
      <w:start w:val="1"/>
      <w:numFmt w:val="lowerLetter"/>
      <w:lvlText w:val="%5."/>
      <w:lvlJc w:val="left"/>
      <w:pPr>
        <w:tabs>
          <w:tab w:val="num" w:pos="3948"/>
        </w:tabs>
        <w:ind w:left="3948" w:hanging="360"/>
      </w:pPr>
      <w:rPr>
        <w:rFonts w:cs="Times New Roman"/>
      </w:rPr>
    </w:lvl>
    <w:lvl w:ilvl="5" w:tplc="0C0A001B">
      <w:start w:val="1"/>
      <w:numFmt w:val="lowerRoman"/>
      <w:lvlText w:val="%6."/>
      <w:lvlJc w:val="right"/>
      <w:pPr>
        <w:tabs>
          <w:tab w:val="num" w:pos="4668"/>
        </w:tabs>
        <w:ind w:left="4668" w:hanging="180"/>
      </w:pPr>
      <w:rPr>
        <w:rFonts w:cs="Times New Roman"/>
      </w:rPr>
    </w:lvl>
    <w:lvl w:ilvl="6" w:tplc="0C0A000F">
      <w:start w:val="1"/>
      <w:numFmt w:val="decimal"/>
      <w:lvlText w:val="%7."/>
      <w:lvlJc w:val="left"/>
      <w:pPr>
        <w:tabs>
          <w:tab w:val="num" w:pos="5388"/>
        </w:tabs>
        <w:ind w:left="5388" w:hanging="360"/>
      </w:pPr>
      <w:rPr>
        <w:rFonts w:cs="Times New Roman"/>
      </w:rPr>
    </w:lvl>
    <w:lvl w:ilvl="7" w:tplc="0C0A0019">
      <w:start w:val="1"/>
      <w:numFmt w:val="lowerLetter"/>
      <w:lvlText w:val="%8."/>
      <w:lvlJc w:val="left"/>
      <w:pPr>
        <w:tabs>
          <w:tab w:val="num" w:pos="6108"/>
        </w:tabs>
        <w:ind w:left="6108" w:hanging="360"/>
      </w:pPr>
      <w:rPr>
        <w:rFonts w:cs="Times New Roman"/>
      </w:rPr>
    </w:lvl>
    <w:lvl w:ilvl="8" w:tplc="0C0A001B">
      <w:start w:val="1"/>
      <w:numFmt w:val="lowerRoman"/>
      <w:lvlText w:val="%9."/>
      <w:lvlJc w:val="right"/>
      <w:pPr>
        <w:tabs>
          <w:tab w:val="num" w:pos="6828"/>
        </w:tabs>
        <w:ind w:left="6828" w:hanging="180"/>
      </w:pPr>
      <w:rPr>
        <w:rFonts w:cs="Times New Roman"/>
      </w:rPr>
    </w:lvl>
  </w:abstractNum>
  <w:abstractNum w:abstractNumId="39" w15:restartNumberingAfterBreak="0">
    <w:nsid w:val="6898605E"/>
    <w:multiLevelType w:val="hybridMultilevel"/>
    <w:tmpl w:val="B35C79CA"/>
    <w:lvl w:ilvl="0" w:tplc="240A0019">
      <w:start w:val="5"/>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6C205747"/>
    <w:multiLevelType w:val="hybridMultilevel"/>
    <w:tmpl w:val="2BEC8B7A"/>
    <w:lvl w:ilvl="0" w:tplc="0C0A000F">
      <w:start w:val="1"/>
      <w:numFmt w:val="decimal"/>
      <w:lvlText w:val="%1."/>
      <w:lvlJc w:val="left"/>
      <w:pPr>
        <w:tabs>
          <w:tab w:val="num" w:pos="360"/>
        </w:tabs>
        <w:ind w:left="360" w:hanging="360"/>
      </w:pPr>
      <w:rPr>
        <w:rFonts w:cs="Times New Roman"/>
      </w:rPr>
    </w:lvl>
    <w:lvl w:ilvl="1" w:tplc="0C0A0019">
      <w:start w:val="1"/>
      <w:numFmt w:val="lowerLetter"/>
      <w:lvlText w:val="%2."/>
      <w:lvlJc w:val="left"/>
      <w:pPr>
        <w:tabs>
          <w:tab w:val="num" w:pos="1080"/>
        </w:tabs>
        <w:ind w:left="1080" w:hanging="360"/>
      </w:pPr>
      <w:rPr>
        <w:rFonts w:cs="Times New Roman"/>
      </w:rPr>
    </w:lvl>
    <w:lvl w:ilvl="2" w:tplc="0C0A001B">
      <w:start w:val="1"/>
      <w:numFmt w:val="lowerRoman"/>
      <w:lvlText w:val="%3."/>
      <w:lvlJc w:val="right"/>
      <w:pPr>
        <w:tabs>
          <w:tab w:val="num" w:pos="1800"/>
        </w:tabs>
        <w:ind w:left="1800" w:hanging="180"/>
      </w:pPr>
      <w:rPr>
        <w:rFonts w:cs="Times New Roman"/>
      </w:rPr>
    </w:lvl>
    <w:lvl w:ilvl="3" w:tplc="0C0A000F">
      <w:start w:val="1"/>
      <w:numFmt w:val="decimal"/>
      <w:lvlText w:val="%4."/>
      <w:lvlJc w:val="left"/>
      <w:pPr>
        <w:tabs>
          <w:tab w:val="num" w:pos="2520"/>
        </w:tabs>
        <w:ind w:left="2520" w:hanging="360"/>
      </w:pPr>
      <w:rPr>
        <w:rFonts w:cs="Times New Roman"/>
      </w:rPr>
    </w:lvl>
    <w:lvl w:ilvl="4" w:tplc="0C0A0019">
      <w:start w:val="1"/>
      <w:numFmt w:val="lowerLetter"/>
      <w:lvlText w:val="%5."/>
      <w:lvlJc w:val="left"/>
      <w:pPr>
        <w:tabs>
          <w:tab w:val="num" w:pos="3240"/>
        </w:tabs>
        <w:ind w:left="3240" w:hanging="360"/>
      </w:pPr>
      <w:rPr>
        <w:rFonts w:cs="Times New Roman"/>
      </w:rPr>
    </w:lvl>
    <w:lvl w:ilvl="5" w:tplc="0C0A001B">
      <w:start w:val="1"/>
      <w:numFmt w:val="lowerRoman"/>
      <w:lvlText w:val="%6."/>
      <w:lvlJc w:val="right"/>
      <w:pPr>
        <w:tabs>
          <w:tab w:val="num" w:pos="3960"/>
        </w:tabs>
        <w:ind w:left="3960" w:hanging="180"/>
      </w:pPr>
      <w:rPr>
        <w:rFonts w:cs="Times New Roman"/>
      </w:rPr>
    </w:lvl>
    <w:lvl w:ilvl="6" w:tplc="0C0A000F">
      <w:start w:val="1"/>
      <w:numFmt w:val="decimal"/>
      <w:lvlText w:val="%7."/>
      <w:lvlJc w:val="left"/>
      <w:pPr>
        <w:tabs>
          <w:tab w:val="num" w:pos="4680"/>
        </w:tabs>
        <w:ind w:left="4680" w:hanging="360"/>
      </w:pPr>
      <w:rPr>
        <w:rFonts w:cs="Times New Roman"/>
      </w:rPr>
    </w:lvl>
    <w:lvl w:ilvl="7" w:tplc="0C0A0019">
      <w:start w:val="1"/>
      <w:numFmt w:val="lowerLetter"/>
      <w:lvlText w:val="%8."/>
      <w:lvlJc w:val="left"/>
      <w:pPr>
        <w:tabs>
          <w:tab w:val="num" w:pos="5400"/>
        </w:tabs>
        <w:ind w:left="5400" w:hanging="360"/>
      </w:pPr>
      <w:rPr>
        <w:rFonts w:cs="Times New Roman"/>
      </w:rPr>
    </w:lvl>
    <w:lvl w:ilvl="8" w:tplc="0C0A001B">
      <w:start w:val="1"/>
      <w:numFmt w:val="lowerRoman"/>
      <w:lvlText w:val="%9."/>
      <w:lvlJc w:val="right"/>
      <w:pPr>
        <w:tabs>
          <w:tab w:val="num" w:pos="6120"/>
        </w:tabs>
        <w:ind w:left="6120" w:hanging="180"/>
      </w:pPr>
      <w:rPr>
        <w:rFonts w:cs="Times New Roman"/>
      </w:rPr>
    </w:lvl>
  </w:abstractNum>
  <w:abstractNum w:abstractNumId="41" w15:restartNumberingAfterBreak="0">
    <w:nsid w:val="6F740776"/>
    <w:multiLevelType w:val="hybridMultilevel"/>
    <w:tmpl w:val="AEF46764"/>
    <w:lvl w:ilvl="0" w:tplc="0B9E2F52">
      <w:start w:val="1"/>
      <w:numFmt w:val="decimal"/>
      <w:lvlText w:val="%1."/>
      <w:lvlJc w:val="left"/>
      <w:pPr>
        <w:tabs>
          <w:tab w:val="num" w:pos="360"/>
        </w:tabs>
        <w:ind w:left="360" w:hanging="360"/>
      </w:pPr>
      <w:rPr>
        <w:rFonts w:cs="Times New Roman"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721F5460"/>
    <w:multiLevelType w:val="hybridMultilevel"/>
    <w:tmpl w:val="530EAB02"/>
    <w:lvl w:ilvl="0" w:tplc="0C0A000F">
      <w:start w:val="1"/>
      <w:numFmt w:val="decimal"/>
      <w:lvlText w:val="%1."/>
      <w:lvlJc w:val="left"/>
      <w:pPr>
        <w:tabs>
          <w:tab w:val="num" w:pos="1068"/>
        </w:tabs>
        <w:ind w:left="1068" w:hanging="360"/>
      </w:pPr>
      <w:rPr>
        <w:rFonts w:cs="Times New Roman"/>
      </w:rPr>
    </w:lvl>
    <w:lvl w:ilvl="1" w:tplc="0C0A0019">
      <w:start w:val="1"/>
      <w:numFmt w:val="lowerLetter"/>
      <w:lvlText w:val="%2."/>
      <w:lvlJc w:val="left"/>
      <w:pPr>
        <w:tabs>
          <w:tab w:val="num" w:pos="1788"/>
        </w:tabs>
        <w:ind w:left="1788" w:hanging="360"/>
      </w:pPr>
      <w:rPr>
        <w:rFonts w:cs="Times New Roman"/>
      </w:rPr>
    </w:lvl>
    <w:lvl w:ilvl="2" w:tplc="0C0A001B">
      <w:start w:val="1"/>
      <w:numFmt w:val="lowerRoman"/>
      <w:lvlText w:val="%3."/>
      <w:lvlJc w:val="right"/>
      <w:pPr>
        <w:tabs>
          <w:tab w:val="num" w:pos="2508"/>
        </w:tabs>
        <w:ind w:left="2508" w:hanging="180"/>
      </w:pPr>
      <w:rPr>
        <w:rFonts w:cs="Times New Roman"/>
      </w:rPr>
    </w:lvl>
    <w:lvl w:ilvl="3" w:tplc="0C0A000F">
      <w:start w:val="1"/>
      <w:numFmt w:val="decimal"/>
      <w:lvlText w:val="%4."/>
      <w:lvlJc w:val="left"/>
      <w:pPr>
        <w:tabs>
          <w:tab w:val="num" w:pos="3228"/>
        </w:tabs>
        <w:ind w:left="3228" w:hanging="360"/>
      </w:pPr>
      <w:rPr>
        <w:rFonts w:cs="Times New Roman"/>
      </w:rPr>
    </w:lvl>
    <w:lvl w:ilvl="4" w:tplc="0C0A0019">
      <w:start w:val="1"/>
      <w:numFmt w:val="lowerLetter"/>
      <w:lvlText w:val="%5."/>
      <w:lvlJc w:val="left"/>
      <w:pPr>
        <w:tabs>
          <w:tab w:val="num" w:pos="3948"/>
        </w:tabs>
        <w:ind w:left="3948" w:hanging="360"/>
      </w:pPr>
      <w:rPr>
        <w:rFonts w:cs="Times New Roman"/>
      </w:rPr>
    </w:lvl>
    <w:lvl w:ilvl="5" w:tplc="0C0A001B">
      <w:start w:val="1"/>
      <w:numFmt w:val="lowerRoman"/>
      <w:lvlText w:val="%6."/>
      <w:lvlJc w:val="right"/>
      <w:pPr>
        <w:tabs>
          <w:tab w:val="num" w:pos="4668"/>
        </w:tabs>
        <w:ind w:left="4668" w:hanging="180"/>
      </w:pPr>
      <w:rPr>
        <w:rFonts w:cs="Times New Roman"/>
      </w:rPr>
    </w:lvl>
    <w:lvl w:ilvl="6" w:tplc="0C0A000F">
      <w:start w:val="1"/>
      <w:numFmt w:val="decimal"/>
      <w:lvlText w:val="%7."/>
      <w:lvlJc w:val="left"/>
      <w:pPr>
        <w:tabs>
          <w:tab w:val="num" w:pos="5388"/>
        </w:tabs>
        <w:ind w:left="5388" w:hanging="360"/>
      </w:pPr>
      <w:rPr>
        <w:rFonts w:cs="Times New Roman"/>
      </w:rPr>
    </w:lvl>
    <w:lvl w:ilvl="7" w:tplc="0C0A0019">
      <w:start w:val="1"/>
      <w:numFmt w:val="lowerLetter"/>
      <w:lvlText w:val="%8."/>
      <w:lvlJc w:val="left"/>
      <w:pPr>
        <w:tabs>
          <w:tab w:val="num" w:pos="6108"/>
        </w:tabs>
        <w:ind w:left="6108" w:hanging="360"/>
      </w:pPr>
      <w:rPr>
        <w:rFonts w:cs="Times New Roman"/>
      </w:rPr>
    </w:lvl>
    <w:lvl w:ilvl="8" w:tplc="0C0A001B">
      <w:start w:val="1"/>
      <w:numFmt w:val="lowerRoman"/>
      <w:lvlText w:val="%9."/>
      <w:lvlJc w:val="right"/>
      <w:pPr>
        <w:tabs>
          <w:tab w:val="num" w:pos="6828"/>
        </w:tabs>
        <w:ind w:left="6828" w:hanging="180"/>
      </w:pPr>
      <w:rPr>
        <w:rFonts w:cs="Times New Roman"/>
      </w:rPr>
    </w:lvl>
  </w:abstractNum>
  <w:abstractNum w:abstractNumId="43" w15:restartNumberingAfterBreak="0">
    <w:nsid w:val="7313735D"/>
    <w:multiLevelType w:val="multilevel"/>
    <w:tmpl w:val="EECEE6F0"/>
    <w:lvl w:ilvl="0">
      <w:start w:val="2"/>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D8766CD"/>
    <w:multiLevelType w:val="multilevel"/>
    <w:tmpl w:val="1DB4EEA8"/>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95300360">
    <w:abstractNumId w:val="26"/>
  </w:num>
  <w:num w:numId="2" w16cid:durableId="1312758631">
    <w:abstractNumId w:val="9"/>
  </w:num>
  <w:num w:numId="3" w16cid:durableId="2101872395">
    <w:abstractNumId w:val="35"/>
  </w:num>
  <w:num w:numId="4" w16cid:durableId="1050228262">
    <w:abstractNumId w:val="22"/>
  </w:num>
  <w:num w:numId="5" w16cid:durableId="598373745">
    <w:abstractNumId w:val="11"/>
  </w:num>
  <w:num w:numId="6" w16cid:durableId="284048564">
    <w:abstractNumId w:val="21"/>
  </w:num>
  <w:num w:numId="7" w16cid:durableId="217789734">
    <w:abstractNumId w:val="17"/>
  </w:num>
  <w:num w:numId="8" w16cid:durableId="2044550149">
    <w:abstractNumId w:val="5"/>
  </w:num>
  <w:num w:numId="9" w16cid:durableId="255477473">
    <w:abstractNumId w:val="6"/>
  </w:num>
  <w:num w:numId="10" w16cid:durableId="896941318">
    <w:abstractNumId w:val="3"/>
  </w:num>
  <w:num w:numId="11" w16cid:durableId="1021786800">
    <w:abstractNumId w:val="16"/>
  </w:num>
  <w:num w:numId="12" w16cid:durableId="729884673">
    <w:abstractNumId w:val="29"/>
  </w:num>
  <w:num w:numId="13" w16cid:durableId="423890458">
    <w:abstractNumId w:val="38"/>
  </w:num>
  <w:num w:numId="14" w16cid:durableId="1275206807">
    <w:abstractNumId w:val="42"/>
  </w:num>
  <w:num w:numId="15" w16cid:durableId="901331716">
    <w:abstractNumId w:val="1"/>
  </w:num>
  <w:num w:numId="16" w16cid:durableId="525827457">
    <w:abstractNumId w:val="30"/>
  </w:num>
  <w:num w:numId="17" w16cid:durableId="1448233768">
    <w:abstractNumId w:val="8"/>
  </w:num>
  <w:num w:numId="18" w16cid:durableId="993097485">
    <w:abstractNumId w:val="24"/>
  </w:num>
  <w:num w:numId="19" w16cid:durableId="751005214">
    <w:abstractNumId w:val="14"/>
  </w:num>
  <w:num w:numId="20" w16cid:durableId="498234163">
    <w:abstractNumId w:val="27"/>
  </w:num>
  <w:num w:numId="21" w16cid:durableId="755785866">
    <w:abstractNumId w:val="25"/>
  </w:num>
  <w:num w:numId="22" w16cid:durableId="1333409811">
    <w:abstractNumId w:val="0"/>
  </w:num>
  <w:num w:numId="23" w16cid:durableId="948584267">
    <w:abstractNumId w:val="28"/>
  </w:num>
  <w:num w:numId="24" w16cid:durableId="663510772">
    <w:abstractNumId w:val="31"/>
  </w:num>
  <w:num w:numId="25" w16cid:durableId="643894832">
    <w:abstractNumId w:val="20"/>
  </w:num>
  <w:num w:numId="26" w16cid:durableId="2007896135">
    <w:abstractNumId w:val="7"/>
  </w:num>
  <w:num w:numId="27" w16cid:durableId="886795868">
    <w:abstractNumId w:val="40"/>
  </w:num>
  <w:num w:numId="28" w16cid:durableId="2124377756">
    <w:abstractNumId w:val="15"/>
  </w:num>
  <w:num w:numId="29" w16cid:durableId="1411582777">
    <w:abstractNumId w:val="12"/>
  </w:num>
  <w:num w:numId="30" w16cid:durableId="367023752">
    <w:abstractNumId w:val="34"/>
  </w:num>
  <w:num w:numId="31" w16cid:durableId="1374111024">
    <w:abstractNumId w:val="4"/>
  </w:num>
  <w:num w:numId="32" w16cid:durableId="97794589">
    <w:abstractNumId w:val="36"/>
  </w:num>
  <w:num w:numId="33" w16cid:durableId="254827118">
    <w:abstractNumId w:val="44"/>
  </w:num>
  <w:num w:numId="34" w16cid:durableId="1432357869">
    <w:abstractNumId w:val="23"/>
  </w:num>
  <w:num w:numId="35" w16cid:durableId="1763649175">
    <w:abstractNumId w:val="2"/>
  </w:num>
  <w:num w:numId="36" w16cid:durableId="407580097">
    <w:abstractNumId w:val="41"/>
  </w:num>
  <w:num w:numId="37" w16cid:durableId="1709601454">
    <w:abstractNumId w:val="10"/>
  </w:num>
  <w:num w:numId="38" w16cid:durableId="977684326">
    <w:abstractNumId w:val="13"/>
  </w:num>
  <w:num w:numId="39" w16cid:durableId="1978753615">
    <w:abstractNumId w:val="43"/>
  </w:num>
  <w:num w:numId="40" w16cid:durableId="637028830">
    <w:abstractNumId w:val="18"/>
  </w:num>
  <w:num w:numId="41" w16cid:durableId="2036079975">
    <w:abstractNumId w:val="33"/>
  </w:num>
  <w:num w:numId="42" w16cid:durableId="1911426196">
    <w:abstractNumId w:val="39"/>
  </w:num>
  <w:num w:numId="43" w16cid:durableId="1049649793">
    <w:abstractNumId w:val="32"/>
  </w:num>
  <w:num w:numId="44" w16cid:durableId="588537314">
    <w:abstractNumId w:val="37"/>
  </w:num>
  <w:num w:numId="45" w16cid:durableId="1573002627">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evenAndOddHeaders/>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122"/>
    <w:rsid w:val="00011ECB"/>
    <w:rsid w:val="00016EFA"/>
    <w:rsid w:val="00021AFF"/>
    <w:rsid w:val="00024D20"/>
    <w:rsid w:val="00027AE3"/>
    <w:rsid w:val="000558A7"/>
    <w:rsid w:val="00090D55"/>
    <w:rsid w:val="000A435C"/>
    <w:rsid w:val="000A4B96"/>
    <w:rsid w:val="000A770C"/>
    <w:rsid w:val="000A7912"/>
    <w:rsid w:val="000D5433"/>
    <w:rsid w:val="000F1890"/>
    <w:rsid w:val="000F248A"/>
    <w:rsid w:val="00112E54"/>
    <w:rsid w:val="001167C9"/>
    <w:rsid w:val="00121D54"/>
    <w:rsid w:val="0013271B"/>
    <w:rsid w:val="001340C3"/>
    <w:rsid w:val="00143A2A"/>
    <w:rsid w:val="0017394E"/>
    <w:rsid w:val="00183A02"/>
    <w:rsid w:val="00191BC8"/>
    <w:rsid w:val="001A2B98"/>
    <w:rsid w:val="001A5A90"/>
    <w:rsid w:val="001C0F3C"/>
    <w:rsid w:val="001C3D61"/>
    <w:rsid w:val="001D19BF"/>
    <w:rsid w:val="001E2033"/>
    <w:rsid w:val="001E5E02"/>
    <w:rsid w:val="00203E66"/>
    <w:rsid w:val="00205A68"/>
    <w:rsid w:val="00224CF0"/>
    <w:rsid w:val="00243197"/>
    <w:rsid w:val="0024361B"/>
    <w:rsid w:val="00246927"/>
    <w:rsid w:val="002527D9"/>
    <w:rsid w:val="002625D5"/>
    <w:rsid w:val="00270105"/>
    <w:rsid w:val="00270A6A"/>
    <w:rsid w:val="00277764"/>
    <w:rsid w:val="00290EEC"/>
    <w:rsid w:val="00292689"/>
    <w:rsid w:val="002A0D19"/>
    <w:rsid w:val="002A18D8"/>
    <w:rsid w:val="00310094"/>
    <w:rsid w:val="0031234A"/>
    <w:rsid w:val="003320E6"/>
    <w:rsid w:val="003337C7"/>
    <w:rsid w:val="00337AB5"/>
    <w:rsid w:val="00345033"/>
    <w:rsid w:val="00374416"/>
    <w:rsid w:val="003A0F36"/>
    <w:rsid w:val="003C63AC"/>
    <w:rsid w:val="003C6DB4"/>
    <w:rsid w:val="003D21F1"/>
    <w:rsid w:val="003D4433"/>
    <w:rsid w:val="003F0826"/>
    <w:rsid w:val="0041505B"/>
    <w:rsid w:val="004219EB"/>
    <w:rsid w:val="00422BF2"/>
    <w:rsid w:val="00446449"/>
    <w:rsid w:val="004A101E"/>
    <w:rsid w:val="004A7362"/>
    <w:rsid w:val="004B1549"/>
    <w:rsid w:val="004C453C"/>
    <w:rsid w:val="004D31D3"/>
    <w:rsid w:val="00514074"/>
    <w:rsid w:val="005148FF"/>
    <w:rsid w:val="00515991"/>
    <w:rsid w:val="0053406F"/>
    <w:rsid w:val="005443DC"/>
    <w:rsid w:val="00545C2B"/>
    <w:rsid w:val="0056702D"/>
    <w:rsid w:val="00576309"/>
    <w:rsid w:val="0059379B"/>
    <w:rsid w:val="005B4932"/>
    <w:rsid w:val="005F06AE"/>
    <w:rsid w:val="006176B8"/>
    <w:rsid w:val="006213CA"/>
    <w:rsid w:val="006240B6"/>
    <w:rsid w:val="00624FA1"/>
    <w:rsid w:val="00644670"/>
    <w:rsid w:val="00651AF9"/>
    <w:rsid w:val="00671BCA"/>
    <w:rsid w:val="00691756"/>
    <w:rsid w:val="00692CEB"/>
    <w:rsid w:val="006A7AD1"/>
    <w:rsid w:val="006C7B60"/>
    <w:rsid w:val="006F7220"/>
    <w:rsid w:val="00707C73"/>
    <w:rsid w:val="00722AB1"/>
    <w:rsid w:val="007276F1"/>
    <w:rsid w:val="0074071A"/>
    <w:rsid w:val="0074108C"/>
    <w:rsid w:val="00753F62"/>
    <w:rsid w:val="00772717"/>
    <w:rsid w:val="00775A07"/>
    <w:rsid w:val="007A3C3D"/>
    <w:rsid w:val="007B432A"/>
    <w:rsid w:val="007F3693"/>
    <w:rsid w:val="008037C5"/>
    <w:rsid w:val="0081767E"/>
    <w:rsid w:val="00824D0F"/>
    <w:rsid w:val="00826127"/>
    <w:rsid w:val="008412EB"/>
    <w:rsid w:val="00855926"/>
    <w:rsid w:val="0086605C"/>
    <w:rsid w:val="008A491B"/>
    <w:rsid w:val="008B172D"/>
    <w:rsid w:val="008B6B36"/>
    <w:rsid w:val="008D0113"/>
    <w:rsid w:val="008E74D1"/>
    <w:rsid w:val="00922FD1"/>
    <w:rsid w:val="009250B9"/>
    <w:rsid w:val="00927135"/>
    <w:rsid w:val="00935488"/>
    <w:rsid w:val="00987B3E"/>
    <w:rsid w:val="0099236E"/>
    <w:rsid w:val="009F67E6"/>
    <w:rsid w:val="00A03A90"/>
    <w:rsid w:val="00A35575"/>
    <w:rsid w:val="00A367C2"/>
    <w:rsid w:val="00AA0236"/>
    <w:rsid w:val="00AB1122"/>
    <w:rsid w:val="00AC4C9F"/>
    <w:rsid w:val="00AD2941"/>
    <w:rsid w:val="00AD3916"/>
    <w:rsid w:val="00AE101B"/>
    <w:rsid w:val="00B05F58"/>
    <w:rsid w:val="00B10F78"/>
    <w:rsid w:val="00B12CEC"/>
    <w:rsid w:val="00B44495"/>
    <w:rsid w:val="00B45D69"/>
    <w:rsid w:val="00B512CF"/>
    <w:rsid w:val="00B7323A"/>
    <w:rsid w:val="00B74094"/>
    <w:rsid w:val="00B8229E"/>
    <w:rsid w:val="00B83098"/>
    <w:rsid w:val="00BA4F15"/>
    <w:rsid w:val="00BA76AD"/>
    <w:rsid w:val="00BB3D03"/>
    <w:rsid w:val="00BD4BDA"/>
    <w:rsid w:val="00BD5B0F"/>
    <w:rsid w:val="00BE7A5E"/>
    <w:rsid w:val="00C0200B"/>
    <w:rsid w:val="00C122DD"/>
    <w:rsid w:val="00C31154"/>
    <w:rsid w:val="00C60E80"/>
    <w:rsid w:val="00C6768E"/>
    <w:rsid w:val="00C76D43"/>
    <w:rsid w:val="00C8120B"/>
    <w:rsid w:val="00C94762"/>
    <w:rsid w:val="00C95B70"/>
    <w:rsid w:val="00CA2CA0"/>
    <w:rsid w:val="00CA47AE"/>
    <w:rsid w:val="00CB4770"/>
    <w:rsid w:val="00CD2682"/>
    <w:rsid w:val="00CD586D"/>
    <w:rsid w:val="00D00393"/>
    <w:rsid w:val="00D06919"/>
    <w:rsid w:val="00D07A84"/>
    <w:rsid w:val="00D320A7"/>
    <w:rsid w:val="00D32175"/>
    <w:rsid w:val="00D908AD"/>
    <w:rsid w:val="00DA3A43"/>
    <w:rsid w:val="00DA75D8"/>
    <w:rsid w:val="00DC3179"/>
    <w:rsid w:val="00E11579"/>
    <w:rsid w:val="00E163D8"/>
    <w:rsid w:val="00E2114A"/>
    <w:rsid w:val="00E306A0"/>
    <w:rsid w:val="00E30E3A"/>
    <w:rsid w:val="00E343F3"/>
    <w:rsid w:val="00E66EE1"/>
    <w:rsid w:val="00E81FE3"/>
    <w:rsid w:val="00E86941"/>
    <w:rsid w:val="00E90DA5"/>
    <w:rsid w:val="00EA0CAF"/>
    <w:rsid w:val="00ED71D1"/>
    <w:rsid w:val="00ED7E4B"/>
    <w:rsid w:val="00EF52E9"/>
    <w:rsid w:val="00F22AAF"/>
    <w:rsid w:val="00F25120"/>
    <w:rsid w:val="00F302A6"/>
    <w:rsid w:val="00F60E0D"/>
    <w:rsid w:val="00F77A42"/>
    <w:rsid w:val="00F827C9"/>
    <w:rsid w:val="00FE4ED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2EC64648"/>
  <w15:chartTrackingRefBased/>
  <w15:docId w15:val="{4D9773C4-B8B4-47C1-A13E-6A52584AC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2FD1"/>
    <w:rPr>
      <w:rFonts w:ascii="Arial" w:hAnsi="Arial" w:cs="Arial"/>
      <w:spacing w:val="20"/>
      <w:sz w:val="28"/>
      <w:szCs w:val="28"/>
      <w:lang w:val="es-ES" w:eastAsia="es-ES"/>
    </w:rPr>
  </w:style>
  <w:style w:type="paragraph" w:styleId="Ttulo1">
    <w:name w:val="heading 1"/>
    <w:basedOn w:val="Normal"/>
    <w:next w:val="Normal"/>
    <w:qFormat/>
    <w:rsid w:val="00922FD1"/>
    <w:pPr>
      <w:keepNext/>
      <w:outlineLvl w:val="0"/>
    </w:pPr>
    <w:rPr>
      <w:b/>
      <w:bCs/>
      <w:sz w:val="24"/>
      <w:szCs w:val="2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22FD1"/>
    <w:pPr>
      <w:jc w:val="both"/>
    </w:pPr>
    <w:rPr>
      <w:sz w:val="24"/>
      <w:szCs w:val="24"/>
      <w:lang w:val="es-MX"/>
    </w:rPr>
  </w:style>
  <w:style w:type="paragraph" w:styleId="Ttulo">
    <w:name w:val="Title"/>
    <w:basedOn w:val="Normal"/>
    <w:qFormat/>
    <w:rsid w:val="00922FD1"/>
    <w:pPr>
      <w:jc w:val="center"/>
      <w:outlineLvl w:val="0"/>
    </w:pPr>
    <w:rPr>
      <w:rFonts w:cs="Times New Roman"/>
      <w:b/>
      <w:bCs/>
      <w:spacing w:val="0"/>
      <w:sz w:val="22"/>
      <w:szCs w:val="22"/>
      <w:lang w:val="es-MX"/>
    </w:rPr>
  </w:style>
  <w:style w:type="paragraph" w:styleId="Sangradetextonormal">
    <w:name w:val="Body Text Indent"/>
    <w:basedOn w:val="Normal"/>
    <w:rsid w:val="00922FD1"/>
    <w:pPr>
      <w:keepNext/>
      <w:ind w:left="284" w:hanging="284"/>
      <w:jc w:val="both"/>
    </w:pPr>
    <w:rPr>
      <w:rFonts w:cs="Times New Roman"/>
      <w:sz w:val="20"/>
      <w:szCs w:val="20"/>
      <w:lang w:val="es-MX"/>
    </w:rPr>
  </w:style>
  <w:style w:type="paragraph" w:styleId="Textoindependiente3">
    <w:name w:val="Body Text 3"/>
    <w:basedOn w:val="Normal"/>
    <w:rsid w:val="00922FD1"/>
    <w:pPr>
      <w:jc w:val="both"/>
    </w:pPr>
    <w:rPr>
      <w:rFonts w:cs="Times New Roman"/>
      <w:sz w:val="20"/>
      <w:szCs w:val="20"/>
      <w:lang w:val="es-MX"/>
    </w:rPr>
  </w:style>
  <w:style w:type="paragraph" w:styleId="Piedepgina">
    <w:name w:val="footer"/>
    <w:basedOn w:val="Normal"/>
    <w:link w:val="PiedepginaCar"/>
    <w:rsid w:val="00922FD1"/>
    <w:pPr>
      <w:tabs>
        <w:tab w:val="center" w:pos="4252"/>
        <w:tab w:val="right" w:pos="8504"/>
      </w:tabs>
    </w:pPr>
  </w:style>
  <w:style w:type="character" w:styleId="Nmerodepgina">
    <w:name w:val="page number"/>
    <w:rsid w:val="00922FD1"/>
    <w:rPr>
      <w:rFonts w:cs="Times New Roman"/>
    </w:rPr>
  </w:style>
  <w:style w:type="paragraph" w:styleId="Encabezado">
    <w:name w:val="header"/>
    <w:basedOn w:val="Normal"/>
    <w:rsid w:val="00922FD1"/>
    <w:pPr>
      <w:tabs>
        <w:tab w:val="center" w:pos="4252"/>
        <w:tab w:val="right" w:pos="8504"/>
      </w:tabs>
    </w:pPr>
  </w:style>
  <w:style w:type="character" w:styleId="Refdenotaalpie">
    <w:name w:val="footnote reference"/>
    <w:semiHidden/>
    <w:rsid w:val="00922FD1"/>
    <w:rPr>
      <w:rFonts w:cs="Times New Roman"/>
      <w:vertAlign w:val="superscript"/>
    </w:rPr>
  </w:style>
  <w:style w:type="table" w:styleId="Tablaconcuadrcula">
    <w:name w:val="Table Grid"/>
    <w:basedOn w:val="Tablanormal"/>
    <w:rsid w:val="00922FD1"/>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9pt">
    <w:name w:val="Normal + 9 pt"/>
    <w:aliases w:val="Sin Expandido / Comprimido"/>
    <w:basedOn w:val="Textoindependiente"/>
    <w:rsid w:val="00922FD1"/>
    <w:pPr>
      <w:numPr>
        <w:numId w:val="2"/>
      </w:numPr>
    </w:pPr>
    <w:rPr>
      <w:spacing w:val="0"/>
      <w:sz w:val="18"/>
      <w:szCs w:val="18"/>
    </w:rPr>
  </w:style>
  <w:style w:type="paragraph" w:styleId="Textodeglobo">
    <w:name w:val="Balloon Text"/>
    <w:basedOn w:val="Normal"/>
    <w:semiHidden/>
    <w:rsid w:val="00855926"/>
    <w:rPr>
      <w:rFonts w:ascii="Tahoma" w:hAnsi="Tahoma" w:cs="Tahoma"/>
      <w:sz w:val="16"/>
      <w:szCs w:val="16"/>
    </w:rPr>
  </w:style>
  <w:style w:type="character" w:styleId="Refdecomentario">
    <w:name w:val="annotation reference"/>
    <w:semiHidden/>
    <w:rsid w:val="006240B6"/>
    <w:rPr>
      <w:sz w:val="16"/>
      <w:szCs w:val="16"/>
    </w:rPr>
  </w:style>
  <w:style w:type="paragraph" w:styleId="Textocomentario">
    <w:name w:val="annotation text"/>
    <w:basedOn w:val="Normal"/>
    <w:semiHidden/>
    <w:rsid w:val="006240B6"/>
    <w:rPr>
      <w:sz w:val="20"/>
      <w:szCs w:val="20"/>
    </w:rPr>
  </w:style>
  <w:style w:type="paragraph" w:styleId="Asuntodelcomentario">
    <w:name w:val="annotation subject"/>
    <w:basedOn w:val="Textocomentario"/>
    <w:next w:val="Textocomentario"/>
    <w:semiHidden/>
    <w:rsid w:val="006240B6"/>
    <w:rPr>
      <w:b/>
      <w:bCs/>
    </w:rPr>
  </w:style>
  <w:style w:type="character" w:customStyle="1" w:styleId="PiedepginaCar">
    <w:name w:val="Pie de página Car"/>
    <w:link w:val="Piedepgina"/>
    <w:rsid w:val="00651AF9"/>
    <w:rPr>
      <w:rFonts w:ascii="Arial" w:hAnsi="Arial" w:cs="Arial"/>
      <w:spacing w:val="20"/>
      <w:sz w:val="28"/>
      <w:szCs w:val="28"/>
      <w:lang w:val="es-ES" w:eastAsia="es-ES"/>
    </w:rPr>
  </w:style>
  <w:style w:type="paragraph" w:styleId="Revisin">
    <w:name w:val="Revision"/>
    <w:hidden/>
    <w:uiPriority w:val="99"/>
    <w:semiHidden/>
    <w:rsid w:val="006C7B60"/>
    <w:rPr>
      <w:rFonts w:ascii="Arial" w:hAnsi="Arial" w:cs="Arial"/>
      <w:spacing w:val="20"/>
      <w:sz w:val="28"/>
      <w:szCs w:val="2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36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8D77FF5838414D90B359564BE81BAF" ma:contentTypeVersion="2" ma:contentTypeDescription="Create a new document." ma:contentTypeScope="" ma:versionID="51c3f7b178c223c783f0ed05cee89b95">
  <xsd:schema xmlns:xsd="http://www.w3.org/2001/XMLSchema" xmlns:xs="http://www.w3.org/2001/XMLSchema" xmlns:p="http://schemas.microsoft.com/office/2006/metadata/properties" xmlns:ns2="25bada0a-ba3b-4b5f-925a-08c82839cc50" targetNamespace="http://schemas.microsoft.com/office/2006/metadata/properties" ma:root="true" ma:fieldsID="bc4d7dd71261911ec3484acd9c2796d3" ns2:_="">
    <xsd:import namespace="25bada0a-ba3b-4b5f-925a-08c82839cc5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bada0a-ba3b-4b5f-925a-08c82839cc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EE6D45-B370-4FE4-877B-A3DCB10B91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bada0a-ba3b-4b5f-925a-08c82839cc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280BBF-2540-4F6E-9CD6-80CEA38ED41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089A5F-5D36-4169-84C8-88B746D04A2C}">
  <ds:schemaRefs>
    <ds:schemaRef ds:uri="http://schemas.openxmlformats.org/officeDocument/2006/bibliography"/>
  </ds:schemaRefs>
</ds:datastoreItem>
</file>

<file path=customXml/itemProps4.xml><?xml version="1.0" encoding="utf-8"?>
<ds:datastoreItem xmlns:ds="http://schemas.openxmlformats.org/officeDocument/2006/customXml" ds:itemID="{19EE1E80-15D1-4A8C-98D5-0C45D53DEC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2095</Words>
  <Characters>10859</Characters>
  <Application>Microsoft Office Word</Application>
  <DocSecurity>4</DocSecurity>
  <Lines>90</Lines>
  <Paragraphs>25</Paragraphs>
  <ScaleCrop>false</ScaleCrop>
  <HeadingPairs>
    <vt:vector size="2" baseType="variant">
      <vt:variant>
        <vt:lpstr>Título</vt:lpstr>
      </vt:variant>
      <vt:variant>
        <vt:i4>1</vt:i4>
      </vt:variant>
    </vt:vector>
  </HeadingPairs>
  <TitlesOfParts>
    <vt:vector size="1" baseType="lpstr">
      <vt:lpstr>CAPITULO XXI: REGLAS APLICABLES A LA GESTIÓN DE LOS RIESGOS DE MERCADO</vt:lpstr>
    </vt:vector>
  </TitlesOfParts>
  <Company>Superfinanciera</Company>
  <LinksUpToDate>false</LinksUpToDate>
  <CharactersWithSpaces>12929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CAPITULO XXI: REGLAS APLICABLES A LA GESTIÓN DE LOS RIESGOS DE MERCADO</dc:title>
  <dc:subject/>
  <dc:creator>Soporte Técnico</dc:creator>
  <cp:keywords/>
  <dc:description/>
  <cp:lastModifiedBy>Juan Bernardo Caicedo Guillen</cp:lastModifiedBy>
  <cp:revision>2</cp:revision>
  <cp:lastPrinted>2010-11-29T22:26:00Z</cp:lastPrinted>
  <dcterms:created xsi:type="dcterms:W3CDTF">2023-01-10T14:53:00Z</dcterms:created>
  <dcterms:modified xsi:type="dcterms:W3CDTF">2023-01-10T14:53:00Z</dcterms:modified>
</cp:coreProperties>
</file>